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16FA1" w14:textId="77777777" w:rsidR="005F21E0" w:rsidRDefault="005F21E0" w:rsidP="005F21E0">
      <w:pPr>
        <w:pStyle w:val="Heading1"/>
        <w:jc w:val="center"/>
      </w:pPr>
      <w:r>
        <w:t>STREET TRADING POLICY 2022-23 CONSULTATION REPORT</w:t>
      </w:r>
    </w:p>
    <w:p w14:paraId="2A3F047A" w14:textId="16B4732B" w:rsidR="00A13D68" w:rsidRDefault="00A13D68" w:rsidP="00A13D68">
      <w:pPr>
        <w:pStyle w:val="Heading1"/>
        <w:numPr>
          <w:ilvl w:val="0"/>
          <w:numId w:val="10"/>
        </w:numPr>
      </w:pPr>
      <w:r>
        <w:t>Introduction</w:t>
      </w:r>
    </w:p>
    <w:p w14:paraId="4E9B9748" w14:textId="30689B2E" w:rsidR="00A13D68" w:rsidRDefault="00A13D68" w:rsidP="00A13D68">
      <w:pPr>
        <w:pStyle w:val="NoSpacing"/>
        <w:rPr>
          <w:rFonts w:ascii="Arial" w:hAnsi="Arial" w:cs="Arial"/>
        </w:rPr>
      </w:pPr>
      <w:r w:rsidRPr="00A13D68">
        <w:rPr>
          <w:rFonts w:ascii="Arial" w:hAnsi="Arial" w:cs="Arial"/>
        </w:rPr>
        <w:t>A public engagement exercise was undertaken in December 2022-January 2023 following publication of a draft proposed Street Trading Policy 2023</w:t>
      </w:r>
      <w:r w:rsidR="00BD650E">
        <w:rPr>
          <w:rFonts w:ascii="Arial" w:hAnsi="Arial" w:cs="Arial"/>
        </w:rPr>
        <w:t xml:space="preserve"> which had been </w:t>
      </w:r>
      <w:r w:rsidRPr="00A13D68">
        <w:rPr>
          <w:rFonts w:ascii="Arial" w:hAnsi="Arial" w:cs="Arial"/>
        </w:rPr>
        <w:t xml:space="preserve">, approved for consultation purposes by the City Council’s General Purposes Licensing Committee (GPLC). The </w:t>
      </w:r>
      <w:r>
        <w:rPr>
          <w:rFonts w:ascii="Arial" w:hAnsi="Arial" w:cs="Arial"/>
        </w:rPr>
        <w:t xml:space="preserve">key components of the exercise were: </w:t>
      </w:r>
    </w:p>
    <w:p w14:paraId="420792A0" w14:textId="77777777" w:rsidR="00A13D68" w:rsidRDefault="00A13D68" w:rsidP="00A13D68">
      <w:pPr>
        <w:pStyle w:val="NoSpacing"/>
        <w:numPr>
          <w:ilvl w:val="0"/>
          <w:numId w:val="11"/>
        </w:numPr>
      </w:pPr>
      <w:r w:rsidRPr="00A13D68">
        <w:rPr>
          <w:rFonts w:ascii="Arial" w:hAnsi="Arial" w:cs="Arial"/>
        </w:rPr>
        <w:t xml:space="preserve">an online questionnaire focusing on the proposed changes entitled </w:t>
      </w:r>
      <w:r w:rsidRPr="00A13D68">
        <w:rPr>
          <w:rFonts w:ascii="Arial" w:hAnsi="Arial" w:cs="Arial"/>
          <w:i/>
        </w:rPr>
        <w:t>“</w:t>
      </w:r>
      <w:r w:rsidR="00C02C39" w:rsidRPr="00A13D68">
        <w:rPr>
          <w:rFonts w:ascii="Arial" w:hAnsi="Arial" w:cs="Arial"/>
          <w:i/>
        </w:rPr>
        <w:t>Your views on the proposed Street Trading Policy 2023</w:t>
      </w:r>
      <w:r w:rsidRPr="00A13D68">
        <w:rPr>
          <w:rFonts w:ascii="Arial" w:hAnsi="Arial" w:cs="Arial"/>
          <w:i/>
        </w:rPr>
        <w:t>”</w:t>
      </w:r>
      <w:r w:rsidR="00C02C39">
        <w:br/>
      </w:r>
      <w:hyperlink r:id="rId8" w:history="1">
        <w:r w:rsidRPr="000E16D2">
          <w:rPr>
            <w:rStyle w:val="Hyperlink"/>
          </w:rPr>
          <w:t>https://consultation.oxford.gov.uk/regulatory-services-and-community-services/street-trading-policy-review-2022-23</w:t>
        </w:r>
      </w:hyperlink>
    </w:p>
    <w:p w14:paraId="3790EC6D" w14:textId="77777777" w:rsidR="00A13D68" w:rsidRPr="005E363C" w:rsidRDefault="00A13D68" w:rsidP="00A13D68">
      <w:pPr>
        <w:pStyle w:val="NoSpacing"/>
        <w:numPr>
          <w:ilvl w:val="0"/>
          <w:numId w:val="11"/>
        </w:numPr>
        <w:rPr>
          <w:rFonts w:ascii="Arial" w:hAnsi="Arial" w:cs="Arial"/>
        </w:rPr>
      </w:pPr>
      <w:r w:rsidRPr="005E363C">
        <w:rPr>
          <w:rFonts w:ascii="Arial" w:hAnsi="Arial" w:cs="Arial"/>
        </w:rPr>
        <w:t xml:space="preserve">direct mailing to all current street trading consent holders of printed versions of the online documents </w:t>
      </w:r>
    </w:p>
    <w:p w14:paraId="4DCAE571" w14:textId="77777777" w:rsidR="005E363C" w:rsidRDefault="00A13D68" w:rsidP="005E363C">
      <w:pPr>
        <w:pStyle w:val="NoSpacing"/>
        <w:numPr>
          <w:ilvl w:val="0"/>
          <w:numId w:val="11"/>
        </w:numPr>
        <w:rPr>
          <w:rFonts w:ascii="Arial" w:hAnsi="Arial" w:cs="Arial"/>
        </w:rPr>
      </w:pPr>
      <w:r w:rsidRPr="005E363C">
        <w:rPr>
          <w:rFonts w:ascii="Arial" w:hAnsi="Arial" w:cs="Arial"/>
        </w:rPr>
        <w:t xml:space="preserve">direct emailing to key </w:t>
      </w:r>
      <w:r w:rsidR="005E363C" w:rsidRPr="005E363C">
        <w:rPr>
          <w:rFonts w:ascii="Arial" w:hAnsi="Arial" w:cs="Arial"/>
        </w:rPr>
        <w:t>internal and external stakeholder teams</w:t>
      </w:r>
      <w:r w:rsidR="005E363C">
        <w:t xml:space="preserve">  </w:t>
      </w:r>
      <w:r w:rsidR="00482A72" w:rsidRPr="00482A72">
        <w:rPr>
          <w:rFonts w:ascii="Arial" w:hAnsi="Arial" w:cs="Arial"/>
        </w:rPr>
        <w:t xml:space="preserve">asking them to </w:t>
      </w:r>
      <w:r w:rsidR="00482A72">
        <w:rPr>
          <w:rFonts w:ascii="Arial" w:hAnsi="Arial" w:cs="Arial"/>
        </w:rPr>
        <w:t>respond via the online consultation portal.</w:t>
      </w:r>
      <w:r w:rsidR="00482A72" w:rsidRPr="00482A72">
        <w:rPr>
          <w:rFonts w:ascii="Arial" w:hAnsi="Arial" w:cs="Arial"/>
        </w:rPr>
        <w:t xml:space="preserve"> </w:t>
      </w:r>
    </w:p>
    <w:p w14:paraId="7FE33785" w14:textId="77777777" w:rsidR="00E17C6C" w:rsidRPr="00482A72" w:rsidRDefault="00E17C6C" w:rsidP="00E17C6C">
      <w:pPr>
        <w:pStyle w:val="NoSpacing"/>
        <w:rPr>
          <w:rFonts w:ascii="Arial" w:hAnsi="Arial" w:cs="Arial"/>
        </w:rPr>
      </w:pPr>
    </w:p>
    <w:p w14:paraId="7BD103B4" w14:textId="77777777" w:rsidR="005E363C" w:rsidRDefault="00C02C39" w:rsidP="005E363C">
      <w:pPr>
        <w:pStyle w:val="NoSpacing"/>
        <w:rPr>
          <w:rFonts w:ascii="Arial" w:hAnsi="Arial" w:cs="Arial"/>
        </w:rPr>
      </w:pPr>
      <w:r w:rsidRPr="005E363C">
        <w:rPr>
          <w:rFonts w:ascii="Arial" w:hAnsi="Arial" w:cs="Arial"/>
        </w:rPr>
        <w:t>The activity ran from 12/12/2022 to 13/01/2023</w:t>
      </w:r>
      <w:r w:rsidR="005E363C">
        <w:rPr>
          <w:rFonts w:ascii="Arial" w:hAnsi="Arial" w:cs="Arial"/>
        </w:rPr>
        <w:t xml:space="preserve">. </w:t>
      </w:r>
    </w:p>
    <w:p w14:paraId="1C880090" w14:textId="77777777" w:rsidR="005E363C" w:rsidRDefault="00DF4405" w:rsidP="005E363C">
      <w:pPr>
        <w:pStyle w:val="Heading1"/>
        <w:numPr>
          <w:ilvl w:val="0"/>
          <w:numId w:val="10"/>
        </w:numPr>
      </w:pPr>
      <w:r>
        <w:t>Participation</w:t>
      </w:r>
      <w:bookmarkStart w:id="0" w:name="_GoBack"/>
      <w:bookmarkEnd w:id="0"/>
    </w:p>
    <w:p w14:paraId="288A44A5" w14:textId="77777777" w:rsidR="00482A72" w:rsidRDefault="00482A72" w:rsidP="005E363C">
      <w:pPr>
        <w:pStyle w:val="NoSpacing"/>
        <w:rPr>
          <w:rFonts w:ascii="Arial" w:hAnsi="Arial" w:cs="Arial"/>
          <w:b/>
        </w:rPr>
      </w:pPr>
    </w:p>
    <w:p w14:paraId="5B78277C" w14:textId="77777777" w:rsidR="005E363C" w:rsidRPr="005E363C" w:rsidRDefault="005E363C" w:rsidP="005E363C">
      <w:pPr>
        <w:pStyle w:val="NoSpacing"/>
        <w:rPr>
          <w:rFonts w:ascii="Arial" w:hAnsi="Arial" w:cs="Arial"/>
          <w:b/>
        </w:rPr>
      </w:pPr>
      <w:r w:rsidRPr="005E363C">
        <w:rPr>
          <w:rFonts w:ascii="Arial" w:hAnsi="Arial" w:cs="Arial"/>
          <w:b/>
        </w:rPr>
        <w:t>Online Survey</w:t>
      </w:r>
    </w:p>
    <w:p w14:paraId="2B8FAD12" w14:textId="77777777" w:rsidR="00047F72" w:rsidRPr="005E363C" w:rsidRDefault="005E363C" w:rsidP="005E363C">
      <w:pPr>
        <w:pStyle w:val="NoSpacing"/>
        <w:rPr>
          <w:rFonts w:ascii="Arial" w:hAnsi="Arial" w:cs="Arial"/>
        </w:rPr>
      </w:pPr>
      <w:r>
        <w:rPr>
          <w:rFonts w:ascii="Arial" w:hAnsi="Arial" w:cs="Arial"/>
        </w:rPr>
        <w:t xml:space="preserve"> </w:t>
      </w:r>
    </w:p>
    <w:p w14:paraId="41EF4A08" w14:textId="03EEA922" w:rsidR="00047F72" w:rsidRDefault="005E363C">
      <w:r>
        <w:t>There were 96 online responses</w:t>
      </w:r>
      <w:r w:rsidR="00C02C39">
        <w:t xml:space="preserve"> to th</w:t>
      </w:r>
      <w:r>
        <w:t>e</w:t>
      </w:r>
      <w:r w:rsidR="00C02C39">
        <w:t xml:space="preserve"> survey</w:t>
      </w:r>
      <w:r>
        <w:t>. 91 of these gave their name and 87 gave email contact details (for follow-up purposes only). 94 respondents said in which given capacity they were responding, as follows:</w:t>
      </w:r>
    </w:p>
    <w:p w14:paraId="13F7DB1E" w14:textId="77777777" w:rsidR="00047F72" w:rsidRDefault="00C02C39">
      <w:r>
        <w:rPr>
          <w:noProof/>
          <w:lang w:val="en-GB" w:eastAsia="en-GB"/>
        </w:rPr>
        <w:drawing>
          <wp:inline distT="0" distB="0" distL="0" distR="0" wp14:anchorId="145B95C4" wp14:editId="188D30E9">
            <wp:extent cx="3918857" cy="1579419"/>
            <wp:effectExtent l="0" t="0" r="5715"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LightGrid-Accent1"/>
        <w:tblW w:w="0" w:type="auto"/>
        <w:tblLook w:val="04A0" w:firstRow="1" w:lastRow="0" w:firstColumn="1" w:lastColumn="0" w:noHBand="0" w:noVBand="1"/>
      </w:tblPr>
      <w:tblGrid>
        <w:gridCol w:w="5681"/>
        <w:gridCol w:w="1010"/>
        <w:gridCol w:w="1024"/>
      </w:tblGrid>
      <w:tr w:rsidR="00047F72" w14:paraId="0590A6F5" w14:textId="77777777" w:rsidTr="00172CDF">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14:paraId="269DC8F2" w14:textId="77777777" w:rsidR="00047F72" w:rsidRDefault="00C02C39">
            <w:r>
              <w:t>Option</w:t>
            </w:r>
          </w:p>
        </w:tc>
        <w:tc>
          <w:tcPr>
            <w:tcW w:w="1010" w:type="dxa"/>
          </w:tcPr>
          <w:p w14:paraId="0E32A47D" w14:textId="77777777" w:rsidR="00047F72" w:rsidRDefault="00C02C39">
            <w:pPr>
              <w:cnfStyle w:val="100000000000" w:firstRow="1" w:lastRow="0" w:firstColumn="0" w:lastColumn="0" w:oddVBand="0" w:evenVBand="0" w:oddHBand="0" w:evenHBand="0" w:firstRowFirstColumn="0" w:firstRowLastColumn="0" w:lastRowFirstColumn="0" w:lastRowLastColumn="0"/>
            </w:pPr>
            <w:r>
              <w:t>Total</w:t>
            </w:r>
          </w:p>
        </w:tc>
        <w:tc>
          <w:tcPr>
            <w:tcW w:w="1012" w:type="dxa"/>
          </w:tcPr>
          <w:p w14:paraId="47DD0835" w14:textId="77777777" w:rsidR="00047F72" w:rsidRDefault="00C02C39">
            <w:pPr>
              <w:cnfStyle w:val="100000000000" w:firstRow="1" w:lastRow="0" w:firstColumn="0" w:lastColumn="0" w:oddVBand="0" w:evenVBand="0" w:oddHBand="0" w:evenHBand="0" w:firstRowFirstColumn="0" w:firstRowLastColumn="0" w:lastRowFirstColumn="0" w:lastRowLastColumn="0"/>
            </w:pPr>
            <w:r>
              <w:t>Percent</w:t>
            </w:r>
          </w:p>
        </w:tc>
      </w:tr>
      <w:tr w:rsidR="00047F72" w14:paraId="60BCE383" w14:textId="77777777" w:rsidTr="00172CD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14:paraId="1961C658" w14:textId="77777777" w:rsidR="00047F72" w:rsidRDefault="00C02C39">
            <w:r>
              <w:t>Member of the public (Oxford resident)</w:t>
            </w:r>
          </w:p>
        </w:tc>
        <w:tc>
          <w:tcPr>
            <w:tcW w:w="1010" w:type="dxa"/>
          </w:tcPr>
          <w:p w14:paraId="5702E06E" w14:textId="77777777" w:rsidR="00047F72" w:rsidRDefault="00C02C39">
            <w:pPr>
              <w:cnfStyle w:val="000000100000" w:firstRow="0" w:lastRow="0" w:firstColumn="0" w:lastColumn="0" w:oddVBand="0" w:evenVBand="0" w:oddHBand="1" w:evenHBand="0" w:firstRowFirstColumn="0" w:firstRowLastColumn="0" w:lastRowFirstColumn="0" w:lastRowLastColumn="0"/>
            </w:pPr>
            <w:r>
              <w:t>68</w:t>
            </w:r>
          </w:p>
        </w:tc>
        <w:tc>
          <w:tcPr>
            <w:tcW w:w="1012" w:type="dxa"/>
          </w:tcPr>
          <w:p w14:paraId="2468BA39" w14:textId="77777777" w:rsidR="00047F72" w:rsidRDefault="00C02C39">
            <w:pPr>
              <w:cnfStyle w:val="000000100000" w:firstRow="0" w:lastRow="0" w:firstColumn="0" w:lastColumn="0" w:oddVBand="0" w:evenVBand="0" w:oddHBand="1" w:evenHBand="0" w:firstRowFirstColumn="0" w:firstRowLastColumn="0" w:lastRowFirstColumn="0" w:lastRowLastColumn="0"/>
            </w:pPr>
            <w:r>
              <w:t>70.83%</w:t>
            </w:r>
          </w:p>
        </w:tc>
      </w:tr>
      <w:tr w:rsidR="00047F72" w14:paraId="45B63B45" w14:textId="77777777" w:rsidTr="00172CDF">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14:paraId="49710B61" w14:textId="77777777" w:rsidR="00047F72" w:rsidRDefault="00C02C39">
            <w:r>
              <w:t>Member of the public (not Oxford resident)</w:t>
            </w:r>
          </w:p>
        </w:tc>
        <w:tc>
          <w:tcPr>
            <w:tcW w:w="1010" w:type="dxa"/>
          </w:tcPr>
          <w:p w14:paraId="10CE6C92" w14:textId="77777777" w:rsidR="00047F72" w:rsidRDefault="00C02C39">
            <w:pPr>
              <w:cnfStyle w:val="000000010000" w:firstRow="0" w:lastRow="0" w:firstColumn="0" w:lastColumn="0" w:oddVBand="0" w:evenVBand="0" w:oddHBand="0" w:evenHBand="1" w:firstRowFirstColumn="0" w:firstRowLastColumn="0" w:lastRowFirstColumn="0" w:lastRowLastColumn="0"/>
            </w:pPr>
            <w:r>
              <w:t>16</w:t>
            </w:r>
          </w:p>
        </w:tc>
        <w:tc>
          <w:tcPr>
            <w:tcW w:w="1012" w:type="dxa"/>
          </w:tcPr>
          <w:p w14:paraId="5A27D8D5" w14:textId="77777777" w:rsidR="00047F72" w:rsidRDefault="00C02C39">
            <w:pPr>
              <w:cnfStyle w:val="000000010000" w:firstRow="0" w:lastRow="0" w:firstColumn="0" w:lastColumn="0" w:oddVBand="0" w:evenVBand="0" w:oddHBand="0" w:evenHBand="1" w:firstRowFirstColumn="0" w:firstRowLastColumn="0" w:lastRowFirstColumn="0" w:lastRowLastColumn="0"/>
            </w:pPr>
            <w:r>
              <w:t>16.67%</w:t>
            </w:r>
          </w:p>
        </w:tc>
      </w:tr>
      <w:tr w:rsidR="00047F72" w14:paraId="336AD1B2" w14:textId="77777777" w:rsidTr="00172CD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681" w:type="dxa"/>
          </w:tcPr>
          <w:p w14:paraId="7B0CA260" w14:textId="77777777" w:rsidR="00047F72" w:rsidRDefault="00C02C39">
            <w:r>
              <w:t>On behalf of an organisation/company/community group</w:t>
            </w:r>
          </w:p>
        </w:tc>
        <w:tc>
          <w:tcPr>
            <w:tcW w:w="1010" w:type="dxa"/>
          </w:tcPr>
          <w:p w14:paraId="2EBE34B0" w14:textId="77777777" w:rsidR="00047F72" w:rsidRDefault="00C02C39">
            <w:pPr>
              <w:cnfStyle w:val="000000100000" w:firstRow="0" w:lastRow="0" w:firstColumn="0" w:lastColumn="0" w:oddVBand="0" w:evenVBand="0" w:oddHBand="1" w:evenHBand="0" w:firstRowFirstColumn="0" w:firstRowLastColumn="0" w:lastRowFirstColumn="0" w:lastRowLastColumn="0"/>
            </w:pPr>
            <w:r>
              <w:t>8</w:t>
            </w:r>
          </w:p>
        </w:tc>
        <w:tc>
          <w:tcPr>
            <w:tcW w:w="1012" w:type="dxa"/>
          </w:tcPr>
          <w:p w14:paraId="51F8087F" w14:textId="77777777" w:rsidR="00047F72" w:rsidRDefault="00C02C39">
            <w:pPr>
              <w:cnfStyle w:val="000000100000" w:firstRow="0" w:lastRow="0" w:firstColumn="0" w:lastColumn="0" w:oddVBand="0" w:evenVBand="0" w:oddHBand="1" w:evenHBand="0" w:firstRowFirstColumn="0" w:firstRowLastColumn="0" w:lastRowFirstColumn="0" w:lastRowLastColumn="0"/>
            </w:pPr>
            <w:r>
              <w:t>8.33%</w:t>
            </w:r>
          </w:p>
        </w:tc>
      </w:tr>
      <w:tr w:rsidR="00047F72" w14:paraId="68BD70E1" w14:textId="77777777" w:rsidTr="00172CDF">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14:paraId="23FB602C" w14:textId="77777777" w:rsidR="00047F72" w:rsidRDefault="00C02C39">
            <w:r>
              <w:t>Street Trading Consent Holder</w:t>
            </w:r>
          </w:p>
        </w:tc>
        <w:tc>
          <w:tcPr>
            <w:tcW w:w="1010" w:type="dxa"/>
          </w:tcPr>
          <w:p w14:paraId="7DA54EE6" w14:textId="77777777" w:rsidR="00047F72" w:rsidRDefault="00C02C39">
            <w:pPr>
              <w:cnfStyle w:val="000000010000" w:firstRow="0" w:lastRow="0" w:firstColumn="0" w:lastColumn="0" w:oddVBand="0" w:evenVBand="0" w:oddHBand="0" w:evenHBand="1" w:firstRowFirstColumn="0" w:firstRowLastColumn="0" w:lastRowFirstColumn="0" w:lastRowLastColumn="0"/>
            </w:pPr>
            <w:r>
              <w:t>2</w:t>
            </w:r>
          </w:p>
        </w:tc>
        <w:tc>
          <w:tcPr>
            <w:tcW w:w="1012" w:type="dxa"/>
          </w:tcPr>
          <w:p w14:paraId="49D0C25E" w14:textId="77777777" w:rsidR="00047F72" w:rsidRDefault="00C02C39">
            <w:pPr>
              <w:cnfStyle w:val="000000010000" w:firstRow="0" w:lastRow="0" w:firstColumn="0" w:lastColumn="0" w:oddVBand="0" w:evenVBand="0" w:oddHBand="0" w:evenHBand="1" w:firstRowFirstColumn="0" w:firstRowLastColumn="0" w:lastRowFirstColumn="0" w:lastRowLastColumn="0"/>
            </w:pPr>
            <w:r>
              <w:t>2.08%</w:t>
            </w:r>
          </w:p>
        </w:tc>
      </w:tr>
      <w:tr w:rsidR="00047F72" w14:paraId="308A0733" w14:textId="77777777" w:rsidTr="00172CD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14:paraId="46A054AF" w14:textId="77777777" w:rsidR="00047F72" w:rsidRDefault="00C02C39">
            <w:r>
              <w:t>Other</w:t>
            </w:r>
          </w:p>
        </w:tc>
        <w:tc>
          <w:tcPr>
            <w:tcW w:w="1010" w:type="dxa"/>
          </w:tcPr>
          <w:p w14:paraId="0FDD9B76" w14:textId="77777777" w:rsidR="00047F72" w:rsidRDefault="00C02C39">
            <w:pPr>
              <w:cnfStyle w:val="000000100000" w:firstRow="0" w:lastRow="0" w:firstColumn="0" w:lastColumn="0" w:oddVBand="0" w:evenVBand="0" w:oddHBand="1" w:evenHBand="0" w:firstRowFirstColumn="0" w:firstRowLastColumn="0" w:lastRowFirstColumn="0" w:lastRowLastColumn="0"/>
            </w:pPr>
            <w:r>
              <w:t>0</w:t>
            </w:r>
          </w:p>
        </w:tc>
        <w:tc>
          <w:tcPr>
            <w:tcW w:w="1012" w:type="dxa"/>
          </w:tcPr>
          <w:p w14:paraId="43A1C832" w14:textId="77777777" w:rsidR="00047F72" w:rsidRDefault="00C02C39">
            <w:pPr>
              <w:cnfStyle w:val="000000100000" w:firstRow="0" w:lastRow="0" w:firstColumn="0" w:lastColumn="0" w:oddVBand="0" w:evenVBand="0" w:oddHBand="1" w:evenHBand="0" w:firstRowFirstColumn="0" w:firstRowLastColumn="0" w:lastRowFirstColumn="0" w:lastRowLastColumn="0"/>
            </w:pPr>
            <w:r>
              <w:t>0.00%</w:t>
            </w:r>
          </w:p>
        </w:tc>
      </w:tr>
      <w:tr w:rsidR="00047F72" w14:paraId="5BEF79F0" w14:textId="77777777" w:rsidTr="00172CDF">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81" w:type="dxa"/>
          </w:tcPr>
          <w:p w14:paraId="3A42EB9F" w14:textId="77777777" w:rsidR="00047F72" w:rsidRDefault="00C02C39">
            <w:r>
              <w:t>Not Answered</w:t>
            </w:r>
          </w:p>
        </w:tc>
        <w:tc>
          <w:tcPr>
            <w:tcW w:w="1010" w:type="dxa"/>
          </w:tcPr>
          <w:p w14:paraId="3456002A" w14:textId="77777777" w:rsidR="00047F72" w:rsidRDefault="00C02C39">
            <w:pPr>
              <w:cnfStyle w:val="000000010000" w:firstRow="0" w:lastRow="0" w:firstColumn="0" w:lastColumn="0" w:oddVBand="0" w:evenVBand="0" w:oddHBand="0" w:evenHBand="1" w:firstRowFirstColumn="0" w:firstRowLastColumn="0" w:lastRowFirstColumn="0" w:lastRowLastColumn="0"/>
            </w:pPr>
            <w:r>
              <w:t>2</w:t>
            </w:r>
          </w:p>
        </w:tc>
        <w:tc>
          <w:tcPr>
            <w:tcW w:w="1012" w:type="dxa"/>
          </w:tcPr>
          <w:p w14:paraId="62511715" w14:textId="77777777" w:rsidR="00047F72" w:rsidRDefault="00C02C39">
            <w:pPr>
              <w:cnfStyle w:val="000000010000" w:firstRow="0" w:lastRow="0" w:firstColumn="0" w:lastColumn="0" w:oddVBand="0" w:evenVBand="0" w:oddHBand="0" w:evenHBand="1" w:firstRowFirstColumn="0" w:firstRowLastColumn="0" w:lastRowFirstColumn="0" w:lastRowLastColumn="0"/>
            </w:pPr>
            <w:r>
              <w:t>2.08%</w:t>
            </w:r>
          </w:p>
        </w:tc>
      </w:tr>
    </w:tbl>
    <w:p w14:paraId="0D25C8F4" w14:textId="543753A9" w:rsidR="00EF7201" w:rsidRPr="00EF7201" w:rsidRDefault="00C02C39">
      <w:r>
        <w:br/>
      </w:r>
      <w:r w:rsidR="00AE0A11">
        <w:t>T</w:t>
      </w:r>
      <w:r w:rsidR="00EF7201" w:rsidRPr="00EF7201">
        <w:t>hose persons responding</w:t>
      </w:r>
      <w:r w:rsidRPr="00EF7201">
        <w:t xml:space="preserve"> on behalf of an organisation/company/community group, </w:t>
      </w:r>
      <w:r w:rsidR="00EF7201" w:rsidRPr="00EF7201">
        <w:t xml:space="preserve">described or gave the name of </w:t>
      </w:r>
      <w:r w:rsidR="00BD650E">
        <w:t>8</w:t>
      </w:r>
      <w:r w:rsidR="00EF7201" w:rsidRPr="00EF7201">
        <w:t xml:space="preserve"> group</w:t>
      </w:r>
      <w:r w:rsidR="00BD650E">
        <w:t>s</w:t>
      </w:r>
    </w:p>
    <w:p w14:paraId="6DCDEC17" w14:textId="73C3403E" w:rsidR="00047F72" w:rsidRDefault="002C323B">
      <w:r>
        <w:lastRenderedPageBreak/>
        <w:t xml:space="preserve">Of the 96 respondents, when asked if we could </w:t>
      </w:r>
      <w:r w:rsidR="00AE0A11">
        <w:t>contact them to advise on the outcome of the consultation 74 (77%) said yes and 22 (23%) replied no.</w:t>
      </w:r>
    </w:p>
    <w:p w14:paraId="60A70E1A" w14:textId="4FDDCA34" w:rsidR="00DF4405" w:rsidRDefault="00DF4405" w:rsidP="00DF4405">
      <w:pPr>
        <w:pStyle w:val="Heading1"/>
        <w:numPr>
          <w:ilvl w:val="0"/>
          <w:numId w:val="10"/>
        </w:numPr>
      </w:pPr>
      <w:r>
        <w:t>Responses</w:t>
      </w:r>
      <w:r w:rsidR="00695749">
        <w:t xml:space="preserve"> to the Consultation Questions</w:t>
      </w:r>
    </w:p>
    <w:p w14:paraId="03D4E360" w14:textId="77777777" w:rsidR="00AF3066" w:rsidRDefault="00AF3066" w:rsidP="00333487">
      <w:pPr>
        <w:pStyle w:val="Heading2"/>
        <w:numPr>
          <w:ilvl w:val="1"/>
          <w:numId w:val="10"/>
        </w:numPr>
      </w:pPr>
      <w:r>
        <w:t>Single Use Plastic in Street Trading</w:t>
      </w:r>
    </w:p>
    <w:p w14:paraId="19238AE1" w14:textId="77777777" w:rsidR="00047F72" w:rsidRDefault="00C02C39">
      <w:r>
        <w:t>There were 95 responses to this part of the question.</w:t>
      </w:r>
      <w:r w:rsidR="00AF3066">
        <w:t xml:space="preserve"> </w:t>
      </w:r>
    </w:p>
    <w:p w14:paraId="0393ABA4" w14:textId="77777777" w:rsidR="00047F72" w:rsidRDefault="00C02C39">
      <w:r>
        <w:rPr>
          <w:noProof/>
          <w:lang w:val="en-GB" w:eastAsia="en-GB"/>
        </w:rPr>
        <w:drawing>
          <wp:inline distT="0" distB="0" distL="0" distR="0" wp14:anchorId="7B9A10AA" wp14:editId="607E4889">
            <wp:extent cx="3865418" cy="1668483"/>
            <wp:effectExtent l="0" t="0" r="1905"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LightGrid-Accent1"/>
        <w:tblW w:w="0" w:type="auto"/>
        <w:tblLook w:val="04A0" w:firstRow="1" w:lastRow="0" w:firstColumn="1" w:lastColumn="0" w:noHBand="0" w:noVBand="1"/>
      </w:tblPr>
      <w:tblGrid>
        <w:gridCol w:w="4174"/>
        <w:gridCol w:w="744"/>
        <w:gridCol w:w="1024"/>
      </w:tblGrid>
      <w:tr w:rsidR="00047F72" w14:paraId="57114969" w14:textId="77777777" w:rsidTr="00F72771">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14:paraId="532C5425" w14:textId="77777777" w:rsidR="00047F72" w:rsidRDefault="00C02C39">
            <w:r>
              <w:t>Option</w:t>
            </w:r>
          </w:p>
        </w:tc>
        <w:tc>
          <w:tcPr>
            <w:tcW w:w="744" w:type="dxa"/>
          </w:tcPr>
          <w:p w14:paraId="66A4F7AA" w14:textId="77777777" w:rsidR="00047F72" w:rsidRDefault="00C02C39">
            <w:pPr>
              <w:cnfStyle w:val="100000000000" w:firstRow="1" w:lastRow="0" w:firstColumn="0" w:lastColumn="0" w:oddVBand="0" w:evenVBand="0" w:oddHBand="0" w:evenHBand="0" w:firstRowFirstColumn="0" w:firstRowLastColumn="0" w:lastRowFirstColumn="0" w:lastRowLastColumn="0"/>
            </w:pPr>
            <w:r>
              <w:t>Total</w:t>
            </w:r>
          </w:p>
        </w:tc>
        <w:tc>
          <w:tcPr>
            <w:tcW w:w="759" w:type="dxa"/>
          </w:tcPr>
          <w:p w14:paraId="61BE27FF" w14:textId="77777777" w:rsidR="00047F72" w:rsidRDefault="00C02C39">
            <w:pPr>
              <w:cnfStyle w:val="100000000000" w:firstRow="1" w:lastRow="0" w:firstColumn="0" w:lastColumn="0" w:oddVBand="0" w:evenVBand="0" w:oddHBand="0" w:evenHBand="0" w:firstRowFirstColumn="0" w:firstRowLastColumn="0" w:lastRowFirstColumn="0" w:lastRowLastColumn="0"/>
            </w:pPr>
            <w:r>
              <w:t>Percent</w:t>
            </w:r>
          </w:p>
        </w:tc>
      </w:tr>
      <w:tr w:rsidR="00047F72" w14:paraId="11706DF0" w14:textId="77777777" w:rsidTr="00F72771">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14:paraId="4D3A30F0" w14:textId="77777777" w:rsidR="00047F72" w:rsidRDefault="00C02C39">
            <w:r>
              <w:t>Strongly agree</w:t>
            </w:r>
          </w:p>
        </w:tc>
        <w:tc>
          <w:tcPr>
            <w:tcW w:w="744" w:type="dxa"/>
          </w:tcPr>
          <w:p w14:paraId="4C744153" w14:textId="77777777" w:rsidR="00047F72" w:rsidRDefault="00C02C39">
            <w:pPr>
              <w:cnfStyle w:val="000000100000" w:firstRow="0" w:lastRow="0" w:firstColumn="0" w:lastColumn="0" w:oddVBand="0" w:evenVBand="0" w:oddHBand="1" w:evenHBand="0" w:firstRowFirstColumn="0" w:firstRowLastColumn="0" w:lastRowFirstColumn="0" w:lastRowLastColumn="0"/>
            </w:pPr>
            <w:r>
              <w:t>76</w:t>
            </w:r>
          </w:p>
        </w:tc>
        <w:tc>
          <w:tcPr>
            <w:tcW w:w="759" w:type="dxa"/>
          </w:tcPr>
          <w:p w14:paraId="22FAFAB3" w14:textId="77777777" w:rsidR="00047F72" w:rsidRDefault="00C02C39">
            <w:pPr>
              <w:cnfStyle w:val="000000100000" w:firstRow="0" w:lastRow="0" w:firstColumn="0" w:lastColumn="0" w:oddVBand="0" w:evenVBand="0" w:oddHBand="1" w:evenHBand="0" w:firstRowFirstColumn="0" w:firstRowLastColumn="0" w:lastRowFirstColumn="0" w:lastRowLastColumn="0"/>
            </w:pPr>
            <w:r>
              <w:t>79.17%</w:t>
            </w:r>
          </w:p>
        </w:tc>
      </w:tr>
      <w:tr w:rsidR="00047F72" w14:paraId="60F9128C" w14:textId="77777777" w:rsidTr="00F72771">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14:paraId="2136398D" w14:textId="77777777" w:rsidR="00047F72" w:rsidRDefault="00C02C39">
            <w:r>
              <w:t>Agree</w:t>
            </w:r>
          </w:p>
        </w:tc>
        <w:tc>
          <w:tcPr>
            <w:tcW w:w="744" w:type="dxa"/>
          </w:tcPr>
          <w:p w14:paraId="384A93E4" w14:textId="77777777" w:rsidR="00047F72" w:rsidRDefault="00C02C39">
            <w:pPr>
              <w:cnfStyle w:val="000000010000" w:firstRow="0" w:lastRow="0" w:firstColumn="0" w:lastColumn="0" w:oddVBand="0" w:evenVBand="0" w:oddHBand="0" w:evenHBand="1" w:firstRowFirstColumn="0" w:firstRowLastColumn="0" w:lastRowFirstColumn="0" w:lastRowLastColumn="0"/>
            </w:pPr>
            <w:r>
              <w:t>11</w:t>
            </w:r>
          </w:p>
        </w:tc>
        <w:tc>
          <w:tcPr>
            <w:tcW w:w="759" w:type="dxa"/>
          </w:tcPr>
          <w:p w14:paraId="2018581D" w14:textId="77777777" w:rsidR="00047F72" w:rsidRDefault="00C02C39">
            <w:pPr>
              <w:cnfStyle w:val="000000010000" w:firstRow="0" w:lastRow="0" w:firstColumn="0" w:lastColumn="0" w:oddVBand="0" w:evenVBand="0" w:oddHBand="0" w:evenHBand="1" w:firstRowFirstColumn="0" w:firstRowLastColumn="0" w:lastRowFirstColumn="0" w:lastRowLastColumn="0"/>
            </w:pPr>
            <w:r>
              <w:t>11.46%</w:t>
            </w:r>
          </w:p>
        </w:tc>
      </w:tr>
      <w:tr w:rsidR="00047F72" w14:paraId="4C00FFE2" w14:textId="77777777" w:rsidTr="00F72771">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14:paraId="4E495FAC" w14:textId="77777777" w:rsidR="00047F72" w:rsidRDefault="00C02C39">
            <w:r>
              <w:t>Not sure</w:t>
            </w:r>
          </w:p>
        </w:tc>
        <w:tc>
          <w:tcPr>
            <w:tcW w:w="744" w:type="dxa"/>
          </w:tcPr>
          <w:p w14:paraId="6FE82904" w14:textId="77777777" w:rsidR="00047F72" w:rsidRDefault="00C02C39">
            <w:pPr>
              <w:cnfStyle w:val="000000100000" w:firstRow="0" w:lastRow="0" w:firstColumn="0" w:lastColumn="0" w:oddVBand="0" w:evenVBand="0" w:oddHBand="1" w:evenHBand="0" w:firstRowFirstColumn="0" w:firstRowLastColumn="0" w:lastRowFirstColumn="0" w:lastRowLastColumn="0"/>
            </w:pPr>
            <w:r>
              <w:t>4</w:t>
            </w:r>
          </w:p>
        </w:tc>
        <w:tc>
          <w:tcPr>
            <w:tcW w:w="759" w:type="dxa"/>
          </w:tcPr>
          <w:p w14:paraId="387A6EFF" w14:textId="77777777" w:rsidR="00047F72" w:rsidRDefault="00C02C39">
            <w:pPr>
              <w:cnfStyle w:val="000000100000" w:firstRow="0" w:lastRow="0" w:firstColumn="0" w:lastColumn="0" w:oddVBand="0" w:evenVBand="0" w:oddHBand="1" w:evenHBand="0" w:firstRowFirstColumn="0" w:firstRowLastColumn="0" w:lastRowFirstColumn="0" w:lastRowLastColumn="0"/>
            </w:pPr>
            <w:r>
              <w:t>4.17%</w:t>
            </w:r>
          </w:p>
        </w:tc>
      </w:tr>
      <w:tr w:rsidR="00047F72" w14:paraId="4BBBA5D4" w14:textId="77777777" w:rsidTr="00F72771">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14:paraId="5D65535F" w14:textId="77777777" w:rsidR="00047F72" w:rsidRDefault="00C02C39">
            <w:r>
              <w:t>Disagree</w:t>
            </w:r>
          </w:p>
        </w:tc>
        <w:tc>
          <w:tcPr>
            <w:tcW w:w="744" w:type="dxa"/>
          </w:tcPr>
          <w:p w14:paraId="133C4E4A" w14:textId="77777777" w:rsidR="00047F72" w:rsidRDefault="00C02C39">
            <w:pPr>
              <w:cnfStyle w:val="000000010000" w:firstRow="0" w:lastRow="0" w:firstColumn="0" w:lastColumn="0" w:oddVBand="0" w:evenVBand="0" w:oddHBand="0" w:evenHBand="1" w:firstRowFirstColumn="0" w:firstRowLastColumn="0" w:lastRowFirstColumn="0" w:lastRowLastColumn="0"/>
            </w:pPr>
            <w:r>
              <w:t>2</w:t>
            </w:r>
          </w:p>
        </w:tc>
        <w:tc>
          <w:tcPr>
            <w:tcW w:w="759" w:type="dxa"/>
          </w:tcPr>
          <w:p w14:paraId="0B941A25" w14:textId="77777777" w:rsidR="00047F72" w:rsidRDefault="00C02C39">
            <w:pPr>
              <w:cnfStyle w:val="000000010000" w:firstRow="0" w:lastRow="0" w:firstColumn="0" w:lastColumn="0" w:oddVBand="0" w:evenVBand="0" w:oddHBand="0" w:evenHBand="1" w:firstRowFirstColumn="0" w:firstRowLastColumn="0" w:lastRowFirstColumn="0" w:lastRowLastColumn="0"/>
            </w:pPr>
            <w:r>
              <w:t>2.08%</w:t>
            </w:r>
          </w:p>
        </w:tc>
      </w:tr>
      <w:tr w:rsidR="00047F72" w14:paraId="3EA4A8D0" w14:textId="77777777" w:rsidTr="00F72771">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14:paraId="78D58C2E" w14:textId="77777777" w:rsidR="00047F72" w:rsidRDefault="00C02C39">
            <w:r>
              <w:t>Strongly disagree</w:t>
            </w:r>
          </w:p>
        </w:tc>
        <w:tc>
          <w:tcPr>
            <w:tcW w:w="744" w:type="dxa"/>
          </w:tcPr>
          <w:p w14:paraId="336FBC92" w14:textId="77777777" w:rsidR="00047F72" w:rsidRDefault="00C02C39">
            <w:pPr>
              <w:cnfStyle w:val="000000100000" w:firstRow="0" w:lastRow="0" w:firstColumn="0" w:lastColumn="0" w:oddVBand="0" w:evenVBand="0" w:oddHBand="1" w:evenHBand="0" w:firstRowFirstColumn="0" w:firstRowLastColumn="0" w:lastRowFirstColumn="0" w:lastRowLastColumn="0"/>
            </w:pPr>
            <w:r>
              <w:t>2</w:t>
            </w:r>
          </w:p>
        </w:tc>
        <w:tc>
          <w:tcPr>
            <w:tcW w:w="759" w:type="dxa"/>
          </w:tcPr>
          <w:p w14:paraId="60A1EA41" w14:textId="77777777" w:rsidR="00047F72" w:rsidRDefault="00C02C39">
            <w:pPr>
              <w:cnfStyle w:val="000000100000" w:firstRow="0" w:lastRow="0" w:firstColumn="0" w:lastColumn="0" w:oddVBand="0" w:evenVBand="0" w:oddHBand="1" w:evenHBand="0" w:firstRowFirstColumn="0" w:firstRowLastColumn="0" w:lastRowFirstColumn="0" w:lastRowLastColumn="0"/>
            </w:pPr>
            <w:r>
              <w:t>2.08%</w:t>
            </w:r>
          </w:p>
        </w:tc>
      </w:tr>
      <w:tr w:rsidR="00047F72" w14:paraId="15BFB90C" w14:textId="77777777" w:rsidTr="00F72771">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4" w:type="dxa"/>
          </w:tcPr>
          <w:p w14:paraId="4DED0E4D" w14:textId="77777777" w:rsidR="00047F72" w:rsidRDefault="00C02C39">
            <w:r>
              <w:t>Not Answered</w:t>
            </w:r>
          </w:p>
        </w:tc>
        <w:tc>
          <w:tcPr>
            <w:tcW w:w="744" w:type="dxa"/>
          </w:tcPr>
          <w:p w14:paraId="1A4A788A" w14:textId="77777777" w:rsidR="00047F72" w:rsidRDefault="00C02C39">
            <w:pPr>
              <w:cnfStyle w:val="000000010000" w:firstRow="0" w:lastRow="0" w:firstColumn="0" w:lastColumn="0" w:oddVBand="0" w:evenVBand="0" w:oddHBand="0" w:evenHBand="1" w:firstRowFirstColumn="0" w:firstRowLastColumn="0" w:lastRowFirstColumn="0" w:lastRowLastColumn="0"/>
            </w:pPr>
            <w:r>
              <w:t>1</w:t>
            </w:r>
          </w:p>
        </w:tc>
        <w:tc>
          <w:tcPr>
            <w:tcW w:w="759" w:type="dxa"/>
          </w:tcPr>
          <w:p w14:paraId="35FF146F" w14:textId="77777777" w:rsidR="00047F72" w:rsidRDefault="00C02C39">
            <w:pPr>
              <w:cnfStyle w:val="000000010000" w:firstRow="0" w:lastRow="0" w:firstColumn="0" w:lastColumn="0" w:oddVBand="0" w:evenVBand="0" w:oddHBand="0" w:evenHBand="1" w:firstRowFirstColumn="0" w:firstRowLastColumn="0" w:lastRowFirstColumn="0" w:lastRowLastColumn="0"/>
            </w:pPr>
            <w:r>
              <w:t>1.04%</w:t>
            </w:r>
          </w:p>
        </w:tc>
      </w:tr>
    </w:tbl>
    <w:p w14:paraId="33A8E638" w14:textId="77777777" w:rsidR="00274937" w:rsidRDefault="00C02C39" w:rsidP="00EE39B3">
      <w:pPr>
        <w:rPr>
          <w:b/>
          <w:color w:val="0070C0"/>
        </w:rPr>
      </w:pPr>
      <w:r>
        <w:br/>
      </w:r>
      <w:r w:rsidR="00FE677F">
        <w:rPr>
          <w:b/>
          <w:color w:val="0070C0"/>
        </w:rPr>
        <w:t>O</w:t>
      </w:r>
      <w:r w:rsidRPr="00FE677F">
        <w:rPr>
          <w:b/>
          <w:color w:val="0070C0"/>
        </w:rPr>
        <w:t>ther comments</w:t>
      </w:r>
    </w:p>
    <w:p w14:paraId="79BE37E6" w14:textId="7194C7D6" w:rsidR="00EE39B3" w:rsidRDefault="00C02C39" w:rsidP="00EE39B3">
      <w:r>
        <w:t>There were 32 responses to this part of the question</w:t>
      </w:r>
      <w:r w:rsidR="003466B1">
        <w:t>, mostly in support as indicated by the response data</w:t>
      </w:r>
      <w:r w:rsidR="00695749">
        <w:t>.</w:t>
      </w:r>
      <w:r w:rsidR="008A2546">
        <w:t xml:space="preserve"> </w:t>
      </w:r>
      <w:r w:rsidR="003466B1">
        <w:t xml:space="preserve">Individual comments requiring a response are being answered by the Business Regulation Team and colleagues </w:t>
      </w:r>
    </w:p>
    <w:p w14:paraId="1B591746" w14:textId="5172A3A2" w:rsidR="00EE39B3" w:rsidRDefault="00EE39B3" w:rsidP="00E17C6C">
      <w:pPr>
        <w:shd w:val="clear" w:color="auto" w:fill="F2F2F2" w:themeFill="background1" w:themeFillShade="F2"/>
        <w:rPr>
          <w:lang w:val="en-GB"/>
        </w:rPr>
      </w:pPr>
      <w:r w:rsidRPr="00E17C6C">
        <w:rPr>
          <w:b/>
          <w:lang w:val="en-GB"/>
        </w:rPr>
        <w:t>Officer comment</w:t>
      </w:r>
      <w:r w:rsidRPr="00E17C6C">
        <w:rPr>
          <w:lang w:val="en-GB"/>
        </w:rPr>
        <w:t xml:space="preserve">: Central government is introducing a ban on the sale of single use plastics from October 2023. Draft Regulations have been published and guidance is under development. The emerging legislation and guidance is likely to be relevant to this </w:t>
      </w:r>
      <w:r w:rsidR="007B3EF0" w:rsidRPr="00E17C6C">
        <w:rPr>
          <w:lang w:val="en-GB"/>
        </w:rPr>
        <w:t>Question</w:t>
      </w:r>
      <w:r w:rsidR="00695749" w:rsidRPr="00E17C6C">
        <w:rPr>
          <w:lang w:val="en-GB"/>
        </w:rPr>
        <w:t>.</w:t>
      </w:r>
    </w:p>
    <w:p w14:paraId="5094F211" w14:textId="77777777" w:rsidR="00E17C6C" w:rsidRDefault="00E17C6C" w:rsidP="00E17C6C">
      <w:pPr>
        <w:rPr>
          <w:lang w:val="en-GB"/>
        </w:rPr>
      </w:pPr>
    </w:p>
    <w:p w14:paraId="7D176657" w14:textId="77777777" w:rsidR="00E17C6C" w:rsidRPr="00EE39B3" w:rsidRDefault="00E17C6C" w:rsidP="00E17C6C">
      <w:pPr>
        <w:rPr>
          <w:lang w:val="en-GB"/>
        </w:rPr>
      </w:pPr>
    </w:p>
    <w:p w14:paraId="0768DFEF" w14:textId="77777777" w:rsidR="00333487" w:rsidRDefault="00333487" w:rsidP="00333487">
      <w:pPr>
        <w:pStyle w:val="Heading2"/>
        <w:numPr>
          <w:ilvl w:val="1"/>
          <w:numId w:val="10"/>
        </w:numPr>
      </w:pPr>
      <w:r>
        <w:t>Plastic and helium balloons and sky lanterns</w:t>
      </w:r>
    </w:p>
    <w:p w14:paraId="5D637BFC" w14:textId="77777777" w:rsidR="00047F72" w:rsidRDefault="00C02C39">
      <w:r>
        <w:t>There were 95 responses to this part of the question.</w:t>
      </w:r>
    </w:p>
    <w:p w14:paraId="4C985A2C" w14:textId="77777777" w:rsidR="00047F72" w:rsidRDefault="00C02C39">
      <w:r>
        <w:rPr>
          <w:noProof/>
          <w:lang w:val="en-GB" w:eastAsia="en-GB"/>
        </w:rPr>
        <w:lastRenderedPageBreak/>
        <w:drawing>
          <wp:inline distT="0" distB="0" distL="0" distR="0" wp14:anchorId="67B1967E" wp14:editId="22E7611A">
            <wp:extent cx="3711039" cy="1692234"/>
            <wp:effectExtent l="0" t="0" r="381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LightGrid-Accent1"/>
        <w:tblW w:w="0" w:type="auto"/>
        <w:tblLook w:val="04A0" w:firstRow="1" w:lastRow="0" w:firstColumn="1" w:lastColumn="0" w:noHBand="0" w:noVBand="1"/>
      </w:tblPr>
      <w:tblGrid>
        <w:gridCol w:w="4571"/>
        <w:gridCol w:w="815"/>
        <w:gridCol w:w="1024"/>
      </w:tblGrid>
      <w:tr w:rsidR="00047F72" w14:paraId="38E14C6B" w14:textId="77777777" w:rsidTr="00FE677F">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14:paraId="0BC82BD8" w14:textId="77777777" w:rsidR="00047F72" w:rsidRDefault="00C02C39">
            <w:r>
              <w:t>Option</w:t>
            </w:r>
          </w:p>
        </w:tc>
        <w:tc>
          <w:tcPr>
            <w:tcW w:w="815" w:type="dxa"/>
          </w:tcPr>
          <w:p w14:paraId="1946B97D" w14:textId="77777777" w:rsidR="00047F72" w:rsidRDefault="00C02C39">
            <w:pPr>
              <w:cnfStyle w:val="100000000000" w:firstRow="1" w:lastRow="0" w:firstColumn="0" w:lastColumn="0" w:oddVBand="0" w:evenVBand="0" w:oddHBand="0" w:evenHBand="0" w:firstRowFirstColumn="0" w:firstRowLastColumn="0" w:lastRowFirstColumn="0" w:lastRowLastColumn="0"/>
            </w:pPr>
            <w:r>
              <w:t>Total</w:t>
            </w:r>
          </w:p>
        </w:tc>
        <w:tc>
          <w:tcPr>
            <w:tcW w:w="877" w:type="dxa"/>
          </w:tcPr>
          <w:p w14:paraId="4946B6D8" w14:textId="77777777" w:rsidR="00047F72" w:rsidRDefault="00C02C39">
            <w:pPr>
              <w:cnfStyle w:val="100000000000" w:firstRow="1" w:lastRow="0" w:firstColumn="0" w:lastColumn="0" w:oddVBand="0" w:evenVBand="0" w:oddHBand="0" w:evenHBand="0" w:firstRowFirstColumn="0" w:firstRowLastColumn="0" w:lastRowFirstColumn="0" w:lastRowLastColumn="0"/>
            </w:pPr>
            <w:r>
              <w:t>Percent</w:t>
            </w:r>
          </w:p>
        </w:tc>
      </w:tr>
      <w:tr w:rsidR="00047F72" w14:paraId="2876817D" w14:textId="77777777" w:rsidTr="00FE677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14:paraId="363D7771" w14:textId="77777777" w:rsidR="00047F72" w:rsidRDefault="00C02C39">
            <w:r>
              <w:t>Strongly agree</w:t>
            </w:r>
          </w:p>
        </w:tc>
        <w:tc>
          <w:tcPr>
            <w:tcW w:w="815" w:type="dxa"/>
          </w:tcPr>
          <w:p w14:paraId="6F1C0A55" w14:textId="77777777" w:rsidR="00047F72" w:rsidRDefault="00C02C39">
            <w:pPr>
              <w:cnfStyle w:val="000000100000" w:firstRow="0" w:lastRow="0" w:firstColumn="0" w:lastColumn="0" w:oddVBand="0" w:evenVBand="0" w:oddHBand="1" w:evenHBand="0" w:firstRowFirstColumn="0" w:firstRowLastColumn="0" w:lastRowFirstColumn="0" w:lastRowLastColumn="0"/>
            </w:pPr>
            <w:r>
              <w:t>68</w:t>
            </w:r>
          </w:p>
        </w:tc>
        <w:tc>
          <w:tcPr>
            <w:tcW w:w="877" w:type="dxa"/>
          </w:tcPr>
          <w:p w14:paraId="21C54861" w14:textId="77777777" w:rsidR="00047F72" w:rsidRDefault="00C02C39">
            <w:pPr>
              <w:cnfStyle w:val="000000100000" w:firstRow="0" w:lastRow="0" w:firstColumn="0" w:lastColumn="0" w:oddVBand="0" w:evenVBand="0" w:oddHBand="1" w:evenHBand="0" w:firstRowFirstColumn="0" w:firstRowLastColumn="0" w:lastRowFirstColumn="0" w:lastRowLastColumn="0"/>
            </w:pPr>
            <w:r>
              <w:t>70.83%</w:t>
            </w:r>
          </w:p>
        </w:tc>
      </w:tr>
      <w:tr w:rsidR="00047F72" w14:paraId="572536CB" w14:textId="77777777" w:rsidTr="00FE677F">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14:paraId="6552607D" w14:textId="77777777" w:rsidR="00047F72" w:rsidRDefault="00C02C39">
            <w:r>
              <w:t>Agree</w:t>
            </w:r>
          </w:p>
        </w:tc>
        <w:tc>
          <w:tcPr>
            <w:tcW w:w="815" w:type="dxa"/>
          </w:tcPr>
          <w:p w14:paraId="244C9193" w14:textId="77777777" w:rsidR="00047F72" w:rsidRDefault="00C02C39">
            <w:pPr>
              <w:cnfStyle w:val="000000010000" w:firstRow="0" w:lastRow="0" w:firstColumn="0" w:lastColumn="0" w:oddVBand="0" w:evenVBand="0" w:oddHBand="0" w:evenHBand="1" w:firstRowFirstColumn="0" w:firstRowLastColumn="0" w:lastRowFirstColumn="0" w:lastRowLastColumn="0"/>
            </w:pPr>
            <w:r>
              <w:t>16</w:t>
            </w:r>
          </w:p>
        </w:tc>
        <w:tc>
          <w:tcPr>
            <w:tcW w:w="877" w:type="dxa"/>
          </w:tcPr>
          <w:p w14:paraId="2879790A" w14:textId="77777777" w:rsidR="00047F72" w:rsidRDefault="00C02C39">
            <w:pPr>
              <w:cnfStyle w:val="000000010000" w:firstRow="0" w:lastRow="0" w:firstColumn="0" w:lastColumn="0" w:oddVBand="0" w:evenVBand="0" w:oddHBand="0" w:evenHBand="1" w:firstRowFirstColumn="0" w:firstRowLastColumn="0" w:lastRowFirstColumn="0" w:lastRowLastColumn="0"/>
            </w:pPr>
            <w:r>
              <w:t>16.67%</w:t>
            </w:r>
          </w:p>
        </w:tc>
      </w:tr>
      <w:tr w:rsidR="00047F72" w14:paraId="7D7235E0" w14:textId="77777777" w:rsidTr="00FE677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14:paraId="49B3F27F" w14:textId="77777777" w:rsidR="00047F72" w:rsidRDefault="00C02C39">
            <w:r>
              <w:t>Not sure</w:t>
            </w:r>
          </w:p>
        </w:tc>
        <w:tc>
          <w:tcPr>
            <w:tcW w:w="815" w:type="dxa"/>
          </w:tcPr>
          <w:p w14:paraId="176AC96E" w14:textId="77777777" w:rsidR="00047F72" w:rsidRDefault="00C02C39">
            <w:pPr>
              <w:cnfStyle w:val="000000100000" w:firstRow="0" w:lastRow="0" w:firstColumn="0" w:lastColumn="0" w:oddVBand="0" w:evenVBand="0" w:oddHBand="1" w:evenHBand="0" w:firstRowFirstColumn="0" w:firstRowLastColumn="0" w:lastRowFirstColumn="0" w:lastRowLastColumn="0"/>
            </w:pPr>
            <w:r>
              <w:t>7</w:t>
            </w:r>
          </w:p>
        </w:tc>
        <w:tc>
          <w:tcPr>
            <w:tcW w:w="877" w:type="dxa"/>
          </w:tcPr>
          <w:p w14:paraId="76BE4BE3" w14:textId="77777777" w:rsidR="00047F72" w:rsidRDefault="00C02C39">
            <w:pPr>
              <w:cnfStyle w:val="000000100000" w:firstRow="0" w:lastRow="0" w:firstColumn="0" w:lastColumn="0" w:oddVBand="0" w:evenVBand="0" w:oddHBand="1" w:evenHBand="0" w:firstRowFirstColumn="0" w:firstRowLastColumn="0" w:lastRowFirstColumn="0" w:lastRowLastColumn="0"/>
            </w:pPr>
            <w:r>
              <w:t>7.29%</w:t>
            </w:r>
          </w:p>
        </w:tc>
      </w:tr>
      <w:tr w:rsidR="00047F72" w14:paraId="04AF4881" w14:textId="77777777" w:rsidTr="00FE677F">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14:paraId="2189E0AA" w14:textId="77777777" w:rsidR="00047F72" w:rsidRDefault="00C02C39">
            <w:r>
              <w:t>Disagree</w:t>
            </w:r>
          </w:p>
        </w:tc>
        <w:tc>
          <w:tcPr>
            <w:tcW w:w="815" w:type="dxa"/>
          </w:tcPr>
          <w:p w14:paraId="417CB133" w14:textId="77777777" w:rsidR="00047F72" w:rsidRDefault="00C02C39">
            <w:pPr>
              <w:cnfStyle w:val="000000010000" w:firstRow="0" w:lastRow="0" w:firstColumn="0" w:lastColumn="0" w:oddVBand="0" w:evenVBand="0" w:oddHBand="0" w:evenHBand="1" w:firstRowFirstColumn="0" w:firstRowLastColumn="0" w:lastRowFirstColumn="0" w:lastRowLastColumn="0"/>
            </w:pPr>
            <w:r>
              <w:t>3</w:t>
            </w:r>
          </w:p>
        </w:tc>
        <w:tc>
          <w:tcPr>
            <w:tcW w:w="877" w:type="dxa"/>
          </w:tcPr>
          <w:p w14:paraId="67A6CA64" w14:textId="77777777" w:rsidR="00047F72" w:rsidRDefault="00C02C39">
            <w:pPr>
              <w:cnfStyle w:val="000000010000" w:firstRow="0" w:lastRow="0" w:firstColumn="0" w:lastColumn="0" w:oddVBand="0" w:evenVBand="0" w:oddHBand="0" w:evenHBand="1" w:firstRowFirstColumn="0" w:firstRowLastColumn="0" w:lastRowFirstColumn="0" w:lastRowLastColumn="0"/>
            </w:pPr>
            <w:r>
              <w:t>3.12%</w:t>
            </w:r>
          </w:p>
        </w:tc>
      </w:tr>
      <w:tr w:rsidR="00047F72" w14:paraId="3AD1DD3F" w14:textId="77777777" w:rsidTr="00FE677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14:paraId="537D3F19" w14:textId="77777777" w:rsidR="00047F72" w:rsidRDefault="00C02C39">
            <w:r>
              <w:t>Strongly disagree</w:t>
            </w:r>
          </w:p>
        </w:tc>
        <w:tc>
          <w:tcPr>
            <w:tcW w:w="815" w:type="dxa"/>
          </w:tcPr>
          <w:p w14:paraId="06EA91CE" w14:textId="77777777" w:rsidR="00047F72" w:rsidRDefault="00C02C39">
            <w:pPr>
              <w:cnfStyle w:val="000000100000" w:firstRow="0" w:lastRow="0" w:firstColumn="0" w:lastColumn="0" w:oddVBand="0" w:evenVBand="0" w:oddHBand="1" w:evenHBand="0" w:firstRowFirstColumn="0" w:firstRowLastColumn="0" w:lastRowFirstColumn="0" w:lastRowLastColumn="0"/>
            </w:pPr>
            <w:r>
              <w:t>1</w:t>
            </w:r>
          </w:p>
        </w:tc>
        <w:tc>
          <w:tcPr>
            <w:tcW w:w="877" w:type="dxa"/>
          </w:tcPr>
          <w:p w14:paraId="6FE838A4" w14:textId="77777777" w:rsidR="00047F72" w:rsidRDefault="00C02C39">
            <w:pPr>
              <w:cnfStyle w:val="000000100000" w:firstRow="0" w:lastRow="0" w:firstColumn="0" w:lastColumn="0" w:oddVBand="0" w:evenVBand="0" w:oddHBand="1" w:evenHBand="0" w:firstRowFirstColumn="0" w:firstRowLastColumn="0" w:lastRowFirstColumn="0" w:lastRowLastColumn="0"/>
            </w:pPr>
            <w:r>
              <w:t>1.04%</w:t>
            </w:r>
          </w:p>
        </w:tc>
      </w:tr>
      <w:tr w:rsidR="00047F72" w14:paraId="35FC5F99" w14:textId="77777777" w:rsidTr="00FE677F">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71" w:type="dxa"/>
          </w:tcPr>
          <w:p w14:paraId="2021827F" w14:textId="77777777" w:rsidR="00047F72" w:rsidRDefault="00C02C39">
            <w:r>
              <w:t>Not Answered</w:t>
            </w:r>
          </w:p>
        </w:tc>
        <w:tc>
          <w:tcPr>
            <w:tcW w:w="815" w:type="dxa"/>
          </w:tcPr>
          <w:p w14:paraId="4097F5FD" w14:textId="77777777" w:rsidR="00047F72" w:rsidRDefault="00C02C39">
            <w:pPr>
              <w:cnfStyle w:val="000000010000" w:firstRow="0" w:lastRow="0" w:firstColumn="0" w:lastColumn="0" w:oddVBand="0" w:evenVBand="0" w:oddHBand="0" w:evenHBand="1" w:firstRowFirstColumn="0" w:firstRowLastColumn="0" w:lastRowFirstColumn="0" w:lastRowLastColumn="0"/>
            </w:pPr>
            <w:r>
              <w:t>1</w:t>
            </w:r>
          </w:p>
        </w:tc>
        <w:tc>
          <w:tcPr>
            <w:tcW w:w="877" w:type="dxa"/>
          </w:tcPr>
          <w:p w14:paraId="20C4B910" w14:textId="77777777" w:rsidR="00047F72" w:rsidRDefault="00C02C39">
            <w:pPr>
              <w:cnfStyle w:val="000000010000" w:firstRow="0" w:lastRow="0" w:firstColumn="0" w:lastColumn="0" w:oddVBand="0" w:evenVBand="0" w:oddHBand="0" w:evenHBand="1" w:firstRowFirstColumn="0" w:firstRowLastColumn="0" w:lastRowFirstColumn="0" w:lastRowLastColumn="0"/>
            </w:pPr>
            <w:r>
              <w:t>1.04%</w:t>
            </w:r>
          </w:p>
        </w:tc>
      </w:tr>
    </w:tbl>
    <w:p w14:paraId="74895A8E" w14:textId="77777777" w:rsidR="00274937" w:rsidRDefault="00C02C39" w:rsidP="007B3EF0">
      <w:r>
        <w:br/>
      </w:r>
      <w:r w:rsidR="00FE677F">
        <w:rPr>
          <w:b/>
          <w:color w:val="0070C0"/>
        </w:rPr>
        <w:t>O</w:t>
      </w:r>
      <w:r w:rsidRPr="00FE677F">
        <w:rPr>
          <w:b/>
          <w:color w:val="0070C0"/>
        </w:rPr>
        <w:t>ther comments</w:t>
      </w:r>
    </w:p>
    <w:p w14:paraId="7A1EF1E2" w14:textId="5463F464" w:rsidR="00F837E1" w:rsidRDefault="00C02C39" w:rsidP="007B3EF0">
      <w:r>
        <w:t>There were 26 respons</w:t>
      </w:r>
      <w:r w:rsidR="007B3EF0">
        <w:t>es to this part of the question,</w:t>
      </w:r>
      <w:r w:rsidR="007B3EF0" w:rsidRPr="007B3EF0">
        <w:t xml:space="preserve"> mostly in support as indicated by the response data</w:t>
      </w:r>
      <w:r w:rsidR="007B3EF0">
        <w:t>.</w:t>
      </w:r>
      <w:r w:rsidR="007B3EF0" w:rsidRPr="007B3EF0">
        <w:t xml:space="preserve"> Individual comments requiring a response are being answered by the Business Regulation Team and colleagues</w:t>
      </w:r>
      <w:r w:rsidR="00E17C6C">
        <w:t>.</w:t>
      </w:r>
      <w:r w:rsidR="007B3EF0" w:rsidRPr="007B3EF0">
        <w:t xml:space="preserve"> </w:t>
      </w:r>
    </w:p>
    <w:p w14:paraId="14B2C74B" w14:textId="77777777" w:rsidR="00E17C6C" w:rsidRDefault="00E17C6C" w:rsidP="007B3EF0">
      <w:pPr>
        <w:rPr>
          <w:rFonts w:ascii="Calibri" w:eastAsia="Times New Roman" w:hAnsi="Calibri" w:cs="Calibri"/>
          <w:i/>
          <w:lang w:val="en-GB" w:eastAsia="en-GB"/>
        </w:rPr>
      </w:pPr>
    </w:p>
    <w:p w14:paraId="2C9E8326" w14:textId="77777777" w:rsidR="00172CDF" w:rsidRDefault="00172CDF" w:rsidP="00172CDF">
      <w:pPr>
        <w:pStyle w:val="Heading2"/>
        <w:numPr>
          <w:ilvl w:val="1"/>
          <w:numId w:val="10"/>
        </w:numPr>
      </w:pPr>
      <w:r>
        <w:t>E-cigarette sales</w:t>
      </w:r>
    </w:p>
    <w:p w14:paraId="1B475744" w14:textId="77777777" w:rsidR="00047F72" w:rsidRDefault="00C02C39">
      <w:r>
        <w:t>There were 94 responses to this part of the question.</w:t>
      </w:r>
    </w:p>
    <w:p w14:paraId="1AEB9EA7" w14:textId="77777777" w:rsidR="00047F72" w:rsidRDefault="00C02C39">
      <w:r>
        <w:rPr>
          <w:noProof/>
          <w:lang w:val="en-GB" w:eastAsia="en-GB"/>
        </w:rPr>
        <w:drawing>
          <wp:inline distT="0" distB="0" distL="0" distR="0" wp14:anchorId="2184E98E" wp14:editId="0300AE87">
            <wp:extent cx="3532909" cy="1799112"/>
            <wp:effectExtent l="0" t="0" r="1079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LightGrid-Accent1"/>
        <w:tblW w:w="0" w:type="auto"/>
        <w:tblLook w:val="04A0" w:firstRow="1" w:lastRow="0" w:firstColumn="1" w:lastColumn="0" w:noHBand="0" w:noVBand="1"/>
      </w:tblPr>
      <w:tblGrid>
        <w:gridCol w:w="4928"/>
        <w:gridCol w:w="878"/>
        <w:gridCol w:w="1024"/>
      </w:tblGrid>
      <w:tr w:rsidR="00047F72" w14:paraId="0763FC3C" w14:textId="77777777" w:rsidTr="00F72771">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14:paraId="5C322311" w14:textId="77777777" w:rsidR="00047F72" w:rsidRDefault="00C02C39">
            <w:r>
              <w:t>Option</w:t>
            </w:r>
          </w:p>
        </w:tc>
        <w:tc>
          <w:tcPr>
            <w:tcW w:w="878" w:type="dxa"/>
          </w:tcPr>
          <w:p w14:paraId="0A781813" w14:textId="77777777" w:rsidR="00047F72" w:rsidRDefault="00C02C39">
            <w:pPr>
              <w:cnfStyle w:val="100000000000" w:firstRow="1" w:lastRow="0" w:firstColumn="0" w:lastColumn="0" w:oddVBand="0" w:evenVBand="0" w:oddHBand="0" w:evenHBand="0" w:firstRowFirstColumn="0" w:firstRowLastColumn="0" w:lastRowFirstColumn="0" w:lastRowLastColumn="0"/>
            </w:pPr>
            <w:r>
              <w:t>Total</w:t>
            </w:r>
          </w:p>
        </w:tc>
        <w:tc>
          <w:tcPr>
            <w:tcW w:w="879" w:type="dxa"/>
          </w:tcPr>
          <w:p w14:paraId="3C403CA9" w14:textId="77777777" w:rsidR="00047F72" w:rsidRDefault="00C02C39">
            <w:pPr>
              <w:cnfStyle w:val="100000000000" w:firstRow="1" w:lastRow="0" w:firstColumn="0" w:lastColumn="0" w:oddVBand="0" w:evenVBand="0" w:oddHBand="0" w:evenHBand="0" w:firstRowFirstColumn="0" w:firstRowLastColumn="0" w:lastRowFirstColumn="0" w:lastRowLastColumn="0"/>
            </w:pPr>
            <w:r>
              <w:t>Percent</w:t>
            </w:r>
          </w:p>
        </w:tc>
      </w:tr>
      <w:tr w:rsidR="00047F72" w14:paraId="50DB9371" w14:textId="77777777" w:rsidTr="00F7277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14:paraId="21D03F4C" w14:textId="77777777" w:rsidR="00047F72" w:rsidRDefault="00C02C39">
            <w:r>
              <w:t>Strongly agree</w:t>
            </w:r>
          </w:p>
        </w:tc>
        <w:tc>
          <w:tcPr>
            <w:tcW w:w="878" w:type="dxa"/>
          </w:tcPr>
          <w:p w14:paraId="4D19149C" w14:textId="77777777" w:rsidR="00047F72" w:rsidRDefault="00C02C39">
            <w:pPr>
              <w:cnfStyle w:val="000000100000" w:firstRow="0" w:lastRow="0" w:firstColumn="0" w:lastColumn="0" w:oddVBand="0" w:evenVBand="0" w:oddHBand="1" w:evenHBand="0" w:firstRowFirstColumn="0" w:firstRowLastColumn="0" w:lastRowFirstColumn="0" w:lastRowLastColumn="0"/>
            </w:pPr>
            <w:r>
              <w:t>65</w:t>
            </w:r>
          </w:p>
        </w:tc>
        <w:tc>
          <w:tcPr>
            <w:tcW w:w="879" w:type="dxa"/>
          </w:tcPr>
          <w:p w14:paraId="563881E2" w14:textId="77777777" w:rsidR="00047F72" w:rsidRDefault="00C02C39">
            <w:pPr>
              <w:cnfStyle w:val="000000100000" w:firstRow="0" w:lastRow="0" w:firstColumn="0" w:lastColumn="0" w:oddVBand="0" w:evenVBand="0" w:oddHBand="1" w:evenHBand="0" w:firstRowFirstColumn="0" w:firstRowLastColumn="0" w:lastRowFirstColumn="0" w:lastRowLastColumn="0"/>
            </w:pPr>
            <w:r>
              <w:t>67.71%</w:t>
            </w:r>
          </w:p>
        </w:tc>
      </w:tr>
      <w:tr w:rsidR="00047F72" w14:paraId="26950B13" w14:textId="77777777" w:rsidTr="00F72771">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14:paraId="12B435D0" w14:textId="77777777" w:rsidR="00047F72" w:rsidRDefault="00C02C39">
            <w:r>
              <w:t>Agree</w:t>
            </w:r>
          </w:p>
        </w:tc>
        <w:tc>
          <w:tcPr>
            <w:tcW w:w="878" w:type="dxa"/>
          </w:tcPr>
          <w:p w14:paraId="26812549" w14:textId="77777777" w:rsidR="00047F72" w:rsidRDefault="00C02C39">
            <w:pPr>
              <w:cnfStyle w:val="000000010000" w:firstRow="0" w:lastRow="0" w:firstColumn="0" w:lastColumn="0" w:oddVBand="0" w:evenVBand="0" w:oddHBand="0" w:evenHBand="1" w:firstRowFirstColumn="0" w:firstRowLastColumn="0" w:lastRowFirstColumn="0" w:lastRowLastColumn="0"/>
            </w:pPr>
            <w:r>
              <w:t>8</w:t>
            </w:r>
          </w:p>
        </w:tc>
        <w:tc>
          <w:tcPr>
            <w:tcW w:w="879" w:type="dxa"/>
          </w:tcPr>
          <w:p w14:paraId="43802840" w14:textId="77777777" w:rsidR="00047F72" w:rsidRDefault="00C02C39">
            <w:pPr>
              <w:cnfStyle w:val="000000010000" w:firstRow="0" w:lastRow="0" w:firstColumn="0" w:lastColumn="0" w:oddVBand="0" w:evenVBand="0" w:oddHBand="0" w:evenHBand="1" w:firstRowFirstColumn="0" w:firstRowLastColumn="0" w:lastRowFirstColumn="0" w:lastRowLastColumn="0"/>
            </w:pPr>
            <w:r>
              <w:t>8.33%</w:t>
            </w:r>
          </w:p>
        </w:tc>
      </w:tr>
      <w:tr w:rsidR="00047F72" w14:paraId="1D55D409" w14:textId="77777777" w:rsidTr="00F7277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14:paraId="3ED699FD" w14:textId="77777777" w:rsidR="00047F72" w:rsidRDefault="00C02C39">
            <w:r>
              <w:t>Not sure</w:t>
            </w:r>
          </w:p>
        </w:tc>
        <w:tc>
          <w:tcPr>
            <w:tcW w:w="878" w:type="dxa"/>
          </w:tcPr>
          <w:p w14:paraId="49DE60B1" w14:textId="77777777" w:rsidR="00047F72" w:rsidRDefault="00C02C39">
            <w:pPr>
              <w:cnfStyle w:val="000000100000" w:firstRow="0" w:lastRow="0" w:firstColumn="0" w:lastColumn="0" w:oddVBand="0" w:evenVBand="0" w:oddHBand="1" w:evenHBand="0" w:firstRowFirstColumn="0" w:firstRowLastColumn="0" w:lastRowFirstColumn="0" w:lastRowLastColumn="0"/>
            </w:pPr>
            <w:r>
              <w:t>15</w:t>
            </w:r>
          </w:p>
        </w:tc>
        <w:tc>
          <w:tcPr>
            <w:tcW w:w="879" w:type="dxa"/>
          </w:tcPr>
          <w:p w14:paraId="733041B6" w14:textId="77777777" w:rsidR="00047F72" w:rsidRDefault="00C02C39">
            <w:pPr>
              <w:cnfStyle w:val="000000100000" w:firstRow="0" w:lastRow="0" w:firstColumn="0" w:lastColumn="0" w:oddVBand="0" w:evenVBand="0" w:oddHBand="1" w:evenHBand="0" w:firstRowFirstColumn="0" w:firstRowLastColumn="0" w:lastRowFirstColumn="0" w:lastRowLastColumn="0"/>
            </w:pPr>
            <w:r>
              <w:t>15.62%</w:t>
            </w:r>
          </w:p>
        </w:tc>
      </w:tr>
      <w:tr w:rsidR="00047F72" w14:paraId="20499F13" w14:textId="77777777" w:rsidTr="00F72771">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14:paraId="00B42CEC" w14:textId="77777777" w:rsidR="00047F72" w:rsidRDefault="00C02C39">
            <w:r>
              <w:t>Disagree</w:t>
            </w:r>
          </w:p>
        </w:tc>
        <w:tc>
          <w:tcPr>
            <w:tcW w:w="878" w:type="dxa"/>
          </w:tcPr>
          <w:p w14:paraId="1B2C106F" w14:textId="77777777" w:rsidR="00047F72" w:rsidRDefault="00C02C39">
            <w:pPr>
              <w:cnfStyle w:val="000000010000" w:firstRow="0" w:lastRow="0" w:firstColumn="0" w:lastColumn="0" w:oddVBand="0" w:evenVBand="0" w:oddHBand="0" w:evenHBand="1" w:firstRowFirstColumn="0" w:firstRowLastColumn="0" w:lastRowFirstColumn="0" w:lastRowLastColumn="0"/>
            </w:pPr>
            <w:r>
              <w:t>3</w:t>
            </w:r>
          </w:p>
        </w:tc>
        <w:tc>
          <w:tcPr>
            <w:tcW w:w="879" w:type="dxa"/>
          </w:tcPr>
          <w:p w14:paraId="047F3CBC" w14:textId="77777777" w:rsidR="00047F72" w:rsidRDefault="00C02C39">
            <w:pPr>
              <w:cnfStyle w:val="000000010000" w:firstRow="0" w:lastRow="0" w:firstColumn="0" w:lastColumn="0" w:oddVBand="0" w:evenVBand="0" w:oddHBand="0" w:evenHBand="1" w:firstRowFirstColumn="0" w:firstRowLastColumn="0" w:lastRowFirstColumn="0" w:lastRowLastColumn="0"/>
            </w:pPr>
            <w:r>
              <w:t>3.12%</w:t>
            </w:r>
          </w:p>
        </w:tc>
      </w:tr>
      <w:tr w:rsidR="00047F72" w14:paraId="28D62C5E" w14:textId="77777777" w:rsidTr="00F7277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14:paraId="43686286" w14:textId="77777777" w:rsidR="00047F72" w:rsidRDefault="00C02C39">
            <w:r>
              <w:t>Strongly disagree</w:t>
            </w:r>
          </w:p>
        </w:tc>
        <w:tc>
          <w:tcPr>
            <w:tcW w:w="878" w:type="dxa"/>
          </w:tcPr>
          <w:p w14:paraId="16987CDF" w14:textId="77777777" w:rsidR="00047F72" w:rsidRDefault="00C02C39">
            <w:pPr>
              <w:cnfStyle w:val="000000100000" w:firstRow="0" w:lastRow="0" w:firstColumn="0" w:lastColumn="0" w:oddVBand="0" w:evenVBand="0" w:oddHBand="1" w:evenHBand="0" w:firstRowFirstColumn="0" w:firstRowLastColumn="0" w:lastRowFirstColumn="0" w:lastRowLastColumn="0"/>
            </w:pPr>
            <w:r>
              <w:t>3</w:t>
            </w:r>
          </w:p>
        </w:tc>
        <w:tc>
          <w:tcPr>
            <w:tcW w:w="879" w:type="dxa"/>
          </w:tcPr>
          <w:p w14:paraId="72FB2C0F" w14:textId="77777777" w:rsidR="00047F72" w:rsidRDefault="00C02C39">
            <w:pPr>
              <w:cnfStyle w:val="000000100000" w:firstRow="0" w:lastRow="0" w:firstColumn="0" w:lastColumn="0" w:oddVBand="0" w:evenVBand="0" w:oddHBand="1" w:evenHBand="0" w:firstRowFirstColumn="0" w:firstRowLastColumn="0" w:lastRowFirstColumn="0" w:lastRowLastColumn="0"/>
            </w:pPr>
            <w:r>
              <w:t>3.12%</w:t>
            </w:r>
          </w:p>
        </w:tc>
      </w:tr>
      <w:tr w:rsidR="00047F72" w14:paraId="54BBE40A" w14:textId="77777777" w:rsidTr="00F72771">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928" w:type="dxa"/>
          </w:tcPr>
          <w:p w14:paraId="3B70E1CC" w14:textId="77777777" w:rsidR="00047F72" w:rsidRDefault="00C02C39">
            <w:r>
              <w:t>Not Answered</w:t>
            </w:r>
          </w:p>
        </w:tc>
        <w:tc>
          <w:tcPr>
            <w:tcW w:w="878" w:type="dxa"/>
          </w:tcPr>
          <w:p w14:paraId="74932C2B" w14:textId="77777777" w:rsidR="00047F72" w:rsidRDefault="00C02C39">
            <w:pPr>
              <w:cnfStyle w:val="000000010000" w:firstRow="0" w:lastRow="0" w:firstColumn="0" w:lastColumn="0" w:oddVBand="0" w:evenVBand="0" w:oddHBand="0" w:evenHBand="1" w:firstRowFirstColumn="0" w:firstRowLastColumn="0" w:lastRowFirstColumn="0" w:lastRowLastColumn="0"/>
            </w:pPr>
            <w:r>
              <w:t>2</w:t>
            </w:r>
          </w:p>
        </w:tc>
        <w:tc>
          <w:tcPr>
            <w:tcW w:w="879" w:type="dxa"/>
          </w:tcPr>
          <w:p w14:paraId="4D125E63" w14:textId="77777777" w:rsidR="00047F72" w:rsidRDefault="00C02C39">
            <w:pPr>
              <w:cnfStyle w:val="000000010000" w:firstRow="0" w:lastRow="0" w:firstColumn="0" w:lastColumn="0" w:oddVBand="0" w:evenVBand="0" w:oddHBand="0" w:evenHBand="1" w:firstRowFirstColumn="0" w:firstRowLastColumn="0" w:lastRowFirstColumn="0" w:lastRowLastColumn="0"/>
            </w:pPr>
            <w:r>
              <w:t>2.08%</w:t>
            </w:r>
          </w:p>
        </w:tc>
      </w:tr>
    </w:tbl>
    <w:p w14:paraId="472838F0" w14:textId="1F03DE4D" w:rsidR="00047F72" w:rsidRDefault="00047F72"/>
    <w:p w14:paraId="6D1D18D7" w14:textId="77777777" w:rsidR="00047F72" w:rsidRDefault="00F72771">
      <w:pPr>
        <w:pStyle w:val="Heading2"/>
      </w:pPr>
      <w:r>
        <w:t>O</w:t>
      </w:r>
      <w:r w:rsidR="00C02C39">
        <w:t xml:space="preserve">ther comments </w:t>
      </w:r>
    </w:p>
    <w:p w14:paraId="104EDF27" w14:textId="541361CB" w:rsidR="00047F72" w:rsidRDefault="00C02C39">
      <w:r>
        <w:t>There were 19 responses to this part of the question</w:t>
      </w:r>
      <w:r w:rsidR="007B3EF0">
        <w:t>,</w:t>
      </w:r>
      <w:r w:rsidR="007B3EF0" w:rsidRPr="007B3EF0">
        <w:t xml:space="preserve"> mostly in support as indicated by the response data</w:t>
      </w:r>
      <w:r w:rsidR="007B3EF0">
        <w:t>.</w:t>
      </w:r>
      <w:r w:rsidR="007B3EF0" w:rsidRPr="007B3EF0">
        <w:t xml:space="preserve"> Individual comments requiring a response are being answered by the Business Regulation Team and colleagues</w:t>
      </w:r>
      <w:r w:rsidR="00274937">
        <w:t>.</w:t>
      </w:r>
    </w:p>
    <w:p w14:paraId="40CB589D" w14:textId="77777777" w:rsidR="00274937" w:rsidRDefault="00274937"/>
    <w:p w14:paraId="4CB21937" w14:textId="77777777" w:rsidR="00172CDF" w:rsidRDefault="00172CDF" w:rsidP="00172CDF">
      <w:pPr>
        <w:pStyle w:val="Heading2"/>
        <w:numPr>
          <w:ilvl w:val="1"/>
          <w:numId w:val="10"/>
        </w:numPr>
      </w:pPr>
      <w:r>
        <w:t>Litter bin for customer use</w:t>
      </w:r>
    </w:p>
    <w:p w14:paraId="677E2C25" w14:textId="77777777" w:rsidR="00047F72" w:rsidRDefault="00C02C39">
      <w:r>
        <w:t>There were 95 responses to this part of the question.</w:t>
      </w:r>
    </w:p>
    <w:p w14:paraId="6E70671F" w14:textId="77777777" w:rsidR="00047F72" w:rsidRDefault="00C02C39">
      <w:r>
        <w:rPr>
          <w:noProof/>
          <w:lang w:val="en-GB" w:eastAsia="en-GB"/>
        </w:rPr>
        <w:drawing>
          <wp:inline distT="0" distB="0" distL="0" distR="0" wp14:anchorId="4C341E86" wp14:editId="0683DE57">
            <wp:extent cx="4310743" cy="1941616"/>
            <wp:effectExtent l="0" t="0" r="1397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LightGrid-Accent1"/>
        <w:tblW w:w="0" w:type="auto"/>
        <w:tblLook w:val="04A0" w:firstRow="1" w:lastRow="0" w:firstColumn="1" w:lastColumn="0" w:noHBand="0" w:noVBand="1"/>
      </w:tblPr>
      <w:tblGrid>
        <w:gridCol w:w="4908"/>
        <w:gridCol w:w="875"/>
        <w:gridCol w:w="1024"/>
      </w:tblGrid>
      <w:tr w:rsidR="00047F72" w14:paraId="13395144" w14:textId="77777777" w:rsidTr="003F611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14:paraId="69310EBD" w14:textId="77777777" w:rsidR="00047F72" w:rsidRDefault="00C02C39">
            <w:r>
              <w:t>Option</w:t>
            </w:r>
          </w:p>
        </w:tc>
        <w:tc>
          <w:tcPr>
            <w:tcW w:w="875" w:type="dxa"/>
          </w:tcPr>
          <w:p w14:paraId="1A0F59E1" w14:textId="77777777" w:rsidR="00047F72" w:rsidRDefault="00C02C39">
            <w:pPr>
              <w:cnfStyle w:val="100000000000" w:firstRow="1" w:lastRow="0" w:firstColumn="0" w:lastColumn="0" w:oddVBand="0" w:evenVBand="0" w:oddHBand="0" w:evenHBand="0" w:firstRowFirstColumn="0" w:firstRowLastColumn="0" w:lastRowFirstColumn="0" w:lastRowLastColumn="0"/>
            </w:pPr>
            <w:r>
              <w:t>Total</w:t>
            </w:r>
          </w:p>
        </w:tc>
        <w:tc>
          <w:tcPr>
            <w:tcW w:w="876" w:type="dxa"/>
          </w:tcPr>
          <w:p w14:paraId="59F7D1D2" w14:textId="77777777" w:rsidR="00047F72" w:rsidRDefault="00C02C39">
            <w:pPr>
              <w:cnfStyle w:val="100000000000" w:firstRow="1" w:lastRow="0" w:firstColumn="0" w:lastColumn="0" w:oddVBand="0" w:evenVBand="0" w:oddHBand="0" w:evenHBand="0" w:firstRowFirstColumn="0" w:firstRowLastColumn="0" w:lastRowFirstColumn="0" w:lastRowLastColumn="0"/>
            </w:pPr>
            <w:r>
              <w:t>Percent</w:t>
            </w:r>
          </w:p>
        </w:tc>
      </w:tr>
      <w:tr w:rsidR="00047F72" w14:paraId="2B22B6F0" w14:textId="77777777" w:rsidTr="003F611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14:paraId="18EF475E" w14:textId="77777777" w:rsidR="00047F72" w:rsidRDefault="00C02C39">
            <w:r>
              <w:t>Strongly agree</w:t>
            </w:r>
          </w:p>
        </w:tc>
        <w:tc>
          <w:tcPr>
            <w:tcW w:w="875" w:type="dxa"/>
          </w:tcPr>
          <w:p w14:paraId="2E919453" w14:textId="77777777" w:rsidR="00047F72" w:rsidRDefault="00C02C39">
            <w:pPr>
              <w:cnfStyle w:val="000000100000" w:firstRow="0" w:lastRow="0" w:firstColumn="0" w:lastColumn="0" w:oddVBand="0" w:evenVBand="0" w:oddHBand="1" w:evenHBand="0" w:firstRowFirstColumn="0" w:firstRowLastColumn="0" w:lastRowFirstColumn="0" w:lastRowLastColumn="0"/>
            </w:pPr>
            <w:r>
              <w:t>80</w:t>
            </w:r>
          </w:p>
        </w:tc>
        <w:tc>
          <w:tcPr>
            <w:tcW w:w="876" w:type="dxa"/>
          </w:tcPr>
          <w:p w14:paraId="21F41051" w14:textId="77777777" w:rsidR="00047F72" w:rsidRDefault="00C02C39">
            <w:pPr>
              <w:cnfStyle w:val="000000100000" w:firstRow="0" w:lastRow="0" w:firstColumn="0" w:lastColumn="0" w:oddVBand="0" w:evenVBand="0" w:oddHBand="1" w:evenHBand="0" w:firstRowFirstColumn="0" w:firstRowLastColumn="0" w:lastRowFirstColumn="0" w:lastRowLastColumn="0"/>
            </w:pPr>
            <w:r>
              <w:t>83.33%</w:t>
            </w:r>
          </w:p>
        </w:tc>
      </w:tr>
      <w:tr w:rsidR="00047F72" w14:paraId="4B9C6B20" w14:textId="77777777" w:rsidTr="003F611C">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14:paraId="6DD0E1E9" w14:textId="77777777" w:rsidR="00047F72" w:rsidRDefault="00C02C39">
            <w:r>
              <w:t>Agree</w:t>
            </w:r>
          </w:p>
        </w:tc>
        <w:tc>
          <w:tcPr>
            <w:tcW w:w="875" w:type="dxa"/>
          </w:tcPr>
          <w:p w14:paraId="0177A7DA" w14:textId="77777777" w:rsidR="00047F72" w:rsidRDefault="00C02C39">
            <w:pPr>
              <w:cnfStyle w:val="000000010000" w:firstRow="0" w:lastRow="0" w:firstColumn="0" w:lastColumn="0" w:oddVBand="0" w:evenVBand="0" w:oddHBand="0" w:evenHBand="1" w:firstRowFirstColumn="0" w:firstRowLastColumn="0" w:lastRowFirstColumn="0" w:lastRowLastColumn="0"/>
            </w:pPr>
            <w:r>
              <w:t>9</w:t>
            </w:r>
          </w:p>
        </w:tc>
        <w:tc>
          <w:tcPr>
            <w:tcW w:w="876" w:type="dxa"/>
          </w:tcPr>
          <w:p w14:paraId="666F0194" w14:textId="77777777" w:rsidR="00047F72" w:rsidRDefault="00C02C39">
            <w:pPr>
              <w:cnfStyle w:val="000000010000" w:firstRow="0" w:lastRow="0" w:firstColumn="0" w:lastColumn="0" w:oddVBand="0" w:evenVBand="0" w:oddHBand="0" w:evenHBand="1" w:firstRowFirstColumn="0" w:firstRowLastColumn="0" w:lastRowFirstColumn="0" w:lastRowLastColumn="0"/>
            </w:pPr>
            <w:r>
              <w:t>9.38%</w:t>
            </w:r>
          </w:p>
        </w:tc>
      </w:tr>
      <w:tr w:rsidR="00047F72" w14:paraId="69A1EE5D" w14:textId="77777777" w:rsidTr="003F611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14:paraId="4AC68031" w14:textId="77777777" w:rsidR="00047F72" w:rsidRDefault="00C02C39">
            <w:r>
              <w:t>Not sure</w:t>
            </w:r>
          </w:p>
        </w:tc>
        <w:tc>
          <w:tcPr>
            <w:tcW w:w="875" w:type="dxa"/>
          </w:tcPr>
          <w:p w14:paraId="3C30C246" w14:textId="77777777" w:rsidR="00047F72" w:rsidRDefault="00C02C39">
            <w:pPr>
              <w:cnfStyle w:val="000000100000" w:firstRow="0" w:lastRow="0" w:firstColumn="0" w:lastColumn="0" w:oddVBand="0" w:evenVBand="0" w:oddHBand="1" w:evenHBand="0" w:firstRowFirstColumn="0" w:firstRowLastColumn="0" w:lastRowFirstColumn="0" w:lastRowLastColumn="0"/>
            </w:pPr>
            <w:r>
              <w:t>5</w:t>
            </w:r>
          </w:p>
        </w:tc>
        <w:tc>
          <w:tcPr>
            <w:tcW w:w="876" w:type="dxa"/>
          </w:tcPr>
          <w:p w14:paraId="3599D58A" w14:textId="77777777" w:rsidR="00047F72" w:rsidRDefault="00C02C39">
            <w:pPr>
              <w:cnfStyle w:val="000000100000" w:firstRow="0" w:lastRow="0" w:firstColumn="0" w:lastColumn="0" w:oddVBand="0" w:evenVBand="0" w:oddHBand="1" w:evenHBand="0" w:firstRowFirstColumn="0" w:firstRowLastColumn="0" w:lastRowFirstColumn="0" w:lastRowLastColumn="0"/>
            </w:pPr>
            <w:r>
              <w:t>5.21%</w:t>
            </w:r>
          </w:p>
        </w:tc>
      </w:tr>
      <w:tr w:rsidR="00047F72" w14:paraId="531C438D" w14:textId="77777777" w:rsidTr="003F611C">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14:paraId="044260D2" w14:textId="77777777" w:rsidR="00047F72" w:rsidRDefault="00C02C39">
            <w:r>
              <w:t>Disagree</w:t>
            </w:r>
          </w:p>
        </w:tc>
        <w:tc>
          <w:tcPr>
            <w:tcW w:w="875" w:type="dxa"/>
          </w:tcPr>
          <w:p w14:paraId="01891582" w14:textId="77777777" w:rsidR="00047F72" w:rsidRDefault="00C02C39">
            <w:pPr>
              <w:cnfStyle w:val="000000010000" w:firstRow="0" w:lastRow="0" w:firstColumn="0" w:lastColumn="0" w:oddVBand="0" w:evenVBand="0" w:oddHBand="0" w:evenHBand="1" w:firstRowFirstColumn="0" w:firstRowLastColumn="0" w:lastRowFirstColumn="0" w:lastRowLastColumn="0"/>
            </w:pPr>
            <w:r>
              <w:t>0</w:t>
            </w:r>
          </w:p>
        </w:tc>
        <w:tc>
          <w:tcPr>
            <w:tcW w:w="876" w:type="dxa"/>
          </w:tcPr>
          <w:p w14:paraId="030ADF11" w14:textId="77777777" w:rsidR="00047F72" w:rsidRDefault="00C02C39">
            <w:pPr>
              <w:cnfStyle w:val="000000010000" w:firstRow="0" w:lastRow="0" w:firstColumn="0" w:lastColumn="0" w:oddVBand="0" w:evenVBand="0" w:oddHBand="0" w:evenHBand="1" w:firstRowFirstColumn="0" w:firstRowLastColumn="0" w:lastRowFirstColumn="0" w:lastRowLastColumn="0"/>
            </w:pPr>
            <w:r>
              <w:t>0.00%</w:t>
            </w:r>
          </w:p>
        </w:tc>
      </w:tr>
      <w:tr w:rsidR="00047F72" w14:paraId="2C1C11D8" w14:textId="77777777" w:rsidTr="003F611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14:paraId="7E585C49" w14:textId="77777777" w:rsidR="00047F72" w:rsidRDefault="00C02C39">
            <w:r>
              <w:t>Strongly disagree</w:t>
            </w:r>
          </w:p>
        </w:tc>
        <w:tc>
          <w:tcPr>
            <w:tcW w:w="875" w:type="dxa"/>
          </w:tcPr>
          <w:p w14:paraId="1ED948DE" w14:textId="77777777" w:rsidR="00047F72" w:rsidRDefault="00C02C39">
            <w:pPr>
              <w:cnfStyle w:val="000000100000" w:firstRow="0" w:lastRow="0" w:firstColumn="0" w:lastColumn="0" w:oddVBand="0" w:evenVBand="0" w:oddHBand="1" w:evenHBand="0" w:firstRowFirstColumn="0" w:firstRowLastColumn="0" w:lastRowFirstColumn="0" w:lastRowLastColumn="0"/>
            </w:pPr>
            <w:r>
              <w:t>1</w:t>
            </w:r>
          </w:p>
        </w:tc>
        <w:tc>
          <w:tcPr>
            <w:tcW w:w="876" w:type="dxa"/>
          </w:tcPr>
          <w:p w14:paraId="10CD394E" w14:textId="77777777" w:rsidR="00047F72" w:rsidRDefault="00C02C39">
            <w:pPr>
              <w:cnfStyle w:val="000000100000" w:firstRow="0" w:lastRow="0" w:firstColumn="0" w:lastColumn="0" w:oddVBand="0" w:evenVBand="0" w:oddHBand="1" w:evenHBand="0" w:firstRowFirstColumn="0" w:firstRowLastColumn="0" w:lastRowFirstColumn="0" w:lastRowLastColumn="0"/>
            </w:pPr>
            <w:r>
              <w:t>1.04%</w:t>
            </w:r>
          </w:p>
        </w:tc>
      </w:tr>
      <w:tr w:rsidR="00047F72" w14:paraId="0AD20333" w14:textId="77777777" w:rsidTr="003F611C">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08" w:type="dxa"/>
          </w:tcPr>
          <w:p w14:paraId="4BE56143" w14:textId="77777777" w:rsidR="00047F72" w:rsidRDefault="00C02C39">
            <w:r>
              <w:t>Not Answered</w:t>
            </w:r>
          </w:p>
        </w:tc>
        <w:tc>
          <w:tcPr>
            <w:tcW w:w="875" w:type="dxa"/>
          </w:tcPr>
          <w:p w14:paraId="39D1205B" w14:textId="77777777" w:rsidR="00047F72" w:rsidRDefault="00C02C39">
            <w:pPr>
              <w:cnfStyle w:val="000000010000" w:firstRow="0" w:lastRow="0" w:firstColumn="0" w:lastColumn="0" w:oddVBand="0" w:evenVBand="0" w:oddHBand="0" w:evenHBand="1" w:firstRowFirstColumn="0" w:firstRowLastColumn="0" w:lastRowFirstColumn="0" w:lastRowLastColumn="0"/>
            </w:pPr>
            <w:r>
              <w:t>1</w:t>
            </w:r>
          </w:p>
        </w:tc>
        <w:tc>
          <w:tcPr>
            <w:tcW w:w="876" w:type="dxa"/>
          </w:tcPr>
          <w:p w14:paraId="26D314CF" w14:textId="77777777" w:rsidR="00047F72" w:rsidRDefault="00C02C39">
            <w:pPr>
              <w:cnfStyle w:val="000000010000" w:firstRow="0" w:lastRow="0" w:firstColumn="0" w:lastColumn="0" w:oddVBand="0" w:evenVBand="0" w:oddHBand="0" w:evenHBand="1" w:firstRowFirstColumn="0" w:firstRowLastColumn="0" w:lastRowFirstColumn="0" w:lastRowLastColumn="0"/>
            </w:pPr>
            <w:r>
              <w:t>1.04%</w:t>
            </w:r>
          </w:p>
        </w:tc>
      </w:tr>
    </w:tbl>
    <w:p w14:paraId="35D15F45" w14:textId="4B351C87" w:rsidR="00047F72" w:rsidRDefault="00047F72"/>
    <w:p w14:paraId="3C40A632" w14:textId="77777777" w:rsidR="00047F72" w:rsidRDefault="00F72771">
      <w:pPr>
        <w:pStyle w:val="Heading2"/>
      </w:pPr>
      <w:r>
        <w:t>Ot</w:t>
      </w:r>
      <w:r w:rsidR="00C02C39">
        <w:t xml:space="preserve">her comments </w:t>
      </w:r>
    </w:p>
    <w:p w14:paraId="1734949F" w14:textId="061F690D" w:rsidR="00047F72" w:rsidRDefault="00C02C39">
      <w:r>
        <w:t>There were 31 responses to this part of the question</w:t>
      </w:r>
      <w:r w:rsidR="007B3EF0">
        <w:t xml:space="preserve">, </w:t>
      </w:r>
      <w:r w:rsidR="007B3EF0" w:rsidRPr="007B3EF0">
        <w:t>mostly in support as indicated by the response data.</w:t>
      </w:r>
      <w:r w:rsidR="007B3EF0">
        <w:t xml:space="preserve"> </w:t>
      </w:r>
      <w:r w:rsidR="007B3EF0" w:rsidRPr="007B3EF0">
        <w:t>Individual comments requiring a response are being answered by the Business Regulation Team and colleagues</w:t>
      </w:r>
    </w:p>
    <w:p w14:paraId="49099356" w14:textId="4F9444C7" w:rsidR="005169F3" w:rsidRDefault="007B3EF0" w:rsidP="00274937">
      <w:pPr>
        <w:shd w:val="clear" w:color="auto" w:fill="F2F2F2" w:themeFill="background1" w:themeFillShade="F2"/>
        <w:rPr>
          <w:rFonts w:ascii="Calibri" w:eastAsia="Times New Roman" w:hAnsi="Calibri" w:cs="Calibri"/>
          <w:i/>
          <w:lang w:val="en-GB" w:eastAsia="en-GB"/>
        </w:rPr>
      </w:pPr>
      <w:r w:rsidRPr="007B3EF0">
        <w:rPr>
          <w:b/>
        </w:rPr>
        <w:t>Officer Comment</w:t>
      </w:r>
      <w:r>
        <w:rPr>
          <w:b/>
        </w:rPr>
        <w:t xml:space="preserve"> </w:t>
      </w:r>
      <w:r>
        <w:t xml:space="preserve">several respondents asked about the implementation of this requirement given that some street trading locations are </w:t>
      </w:r>
      <w:r w:rsidR="003A183C">
        <w:t>better provided with public litter bins than others. Whilst officers consider that the provision of a trader- located bin is likely to help reduce street litter, the Committee may wish to consider that the requirement applies when there is no existing public litter bin within 20 metres</w:t>
      </w:r>
    </w:p>
    <w:p w14:paraId="1347ED04" w14:textId="77777777" w:rsidR="00172CDF" w:rsidRDefault="00172CDF" w:rsidP="00172CDF">
      <w:pPr>
        <w:pStyle w:val="Heading2"/>
        <w:numPr>
          <w:ilvl w:val="1"/>
          <w:numId w:val="10"/>
        </w:numPr>
      </w:pPr>
      <w:r>
        <w:t>Street trading at special events</w:t>
      </w:r>
    </w:p>
    <w:p w14:paraId="797A04B9" w14:textId="77777777" w:rsidR="00047F72" w:rsidRDefault="00C02C39">
      <w:r>
        <w:t>There were 95 responses to this part of the question.</w:t>
      </w:r>
    </w:p>
    <w:p w14:paraId="59142DA2" w14:textId="77777777" w:rsidR="00047F72" w:rsidRDefault="00C02C39">
      <w:r>
        <w:rPr>
          <w:noProof/>
          <w:lang w:val="en-GB" w:eastAsia="en-GB"/>
        </w:rPr>
        <w:drawing>
          <wp:inline distT="0" distB="0" distL="0" distR="0" wp14:anchorId="0BF56A0E" wp14:editId="60F24246">
            <wp:extent cx="3515096" cy="2090057"/>
            <wp:effectExtent l="0" t="0" r="9525"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LightGrid-Accent1"/>
        <w:tblW w:w="0" w:type="auto"/>
        <w:tblLook w:val="04A0" w:firstRow="1" w:lastRow="0" w:firstColumn="1" w:lastColumn="0" w:noHBand="0" w:noVBand="1"/>
      </w:tblPr>
      <w:tblGrid>
        <w:gridCol w:w="3998"/>
        <w:gridCol w:w="742"/>
        <w:gridCol w:w="1024"/>
      </w:tblGrid>
      <w:tr w:rsidR="00047F72" w14:paraId="4C3386AD" w14:textId="77777777" w:rsidTr="003F611C">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14:paraId="76278693" w14:textId="77777777" w:rsidR="00047F72" w:rsidRDefault="00C02C39">
            <w:r>
              <w:t>Option</w:t>
            </w:r>
          </w:p>
        </w:tc>
        <w:tc>
          <w:tcPr>
            <w:tcW w:w="712" w:type="dxa"/>
          </w:tcPr>
          <w:p w14:paraId="6562B6BA" w14:textId="77777777" w:rsidR="00047F72" w:rsidRDefault="00C02C39">
            <w:pPr>
              <w:cnfStyle w:val="100000000000" w:firstRow="1" w:lastRow="0" w:firstColumn="0" w:lastColumn="0" w:oddVBand="0" w:evenVBand="0" w:oddHBand="0" w:evenHBand="0" w:firstRowFirstColumn="0" w:firstRowLastColumn="0" w:lastRowFirstColumn="0" w:lastRowLastColumn="0"/>
            </w:pPr>
            <w:r>
              <w:t>Total</w:t>
            </w:r>
          </w:p>
        </w:tc>
        <w:tc>
          <w:tcPr>
            <w:tcW w:w="944" w:type="dxa"/>
          </w:tcPr>
          <w:p w14:paraId="1708EB31" w14:textId="77777777" w:rsidR="00047F72" w:rsidRDefault="00C02C39">
            <w:pPr>
              <w:cnfStyle w:val="100000000000" w:firstRow="1" w:lastRow="0" w:firstColumn="0" w:lastColumn="0" w:oddVBand="0" w:evenVBand="0" w:oddHBand="0" w:evenHBand="0" w:firstRowFirstColumn="0" w:firstRowLastColumn="0" w:lastRowFirstColumn="0" w:lastRowLastColumn="0"/>
            </w:pPr>
            <w:r>
              <w:t>Percent</w:t>
            </w:r>
          </w:p>
        </w:tc>
      </w:tr>
      <w:tr w:rsidR="00047F72" w14:paraId="6A8F7C82" w14:textId="77777777" w:rsidTr="003F611C">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14:paraId="6FC26673" w14:textId="77777777" w:rsidR="00047F72" w:rsidRDefault="00C02C39">
            <w:r>
              <w:t>Strongly agree</w:t>
            </w:r>
          </w:p>
        </w:tc>
        <w:tc>
          <w:tcPr>
            <w:tcW w:w="712" w:type="dxa"/>
          </w:tcPr>
          <w:p w14:paraId="0FE12E2F" w14:textId="77777777" w:rsidR="00047F72" w:rsidRDefault="00C02C39">
            <w:pPr>
              <w:cnfStyle w:val="000000100000" w:firstRow="0" w:lastRow="0" w:firstColumn="0" w:lastColumn="0" w:oddVBand="0" w:evenVBand="0" w:oddHBand="1" w:evenHBand="0" w:firstRowFirstColumn="0" w:firstRowLastColumn="0" w:lastRowFirstColumn="0" w:lastRowLastColumn="0"/>
            </w:pPr>
            <w:r>
              <w:t>21</w:t>
            </w:r>
          </w:p>
        </w:tc>
        <w:tc>
          <w:tcPr>
            <w:tcW w:w="944" w:type="dxa"/>
          </w:tcPr>
          <w:p w14:paraId="4CB583D6" w14:textId="77777777" w:rsidR="00047F72" w:rsidRDefault="00C02C39">
            <w:pPr>
              <w:cnfStyle w:val="000000100000" w:firstRow="0" w:lastRow="0" w:firstColumn="0" w:lastColumn="0" w:oddVBand="0" w:evenVBand="0" w:oddHBand="1" w:evenHBand="0" w:firstRowFirstColumn="0" w:firstRowLastColumn="0" w:lastRowFirstColumn="0" w:lastRowLastColumn="0"/>
            </w:pPr>
            <w:r>
              <w:t>21.88%</w:t>
            </w:r>
          </w:p>
        </w:tc>
      </w:tr>
      <w:tr w:rsidR="00047F72" w14:paraId="5943B874" w14:textId="77777777" w:rsidTr="003F611C">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14:paraId="1DA88A47" w14:textId="77777777" w:rsidR="00047F72" w:rsidRDefault="00C02C39">
            <w:r>
              <w:t>Agree</w:t>
            </w:r>
          </w:p>
        </w:tc>
        <w:tc>
          <w:tcPr>
            <w:tcW w:w="712" w:type="dxa"/>
          </w:tcPr>
          <w:p w14:paraId="65CD93B7" w14:textId="77777777" w:rsidR="00047F72" w:rsidRDefault="00C02C39">
            <w:pPr>
              <w:cnfStyle w:val="000000010000" w:firstRow="0" w:lastRow="0" w:firstColumn="0" w:lastColumn="0" w:oddVBand="0" w:evenVBand="0" w:oddHBand="0" w:evenHBand="1" w:firstRowFirstColumn="0" w:firstRowLastColumn="0" w:lastRowFirstColumn="0" w:lastRowLastColumn="0"/>
            </w:pPr>
            <w:r>
              <w:t>17</w:t>
            </w:r>
          </w:p>
        </w:tc>
        <w:tc>
          <w:tcPr>
            <w:tcW w:w="944" w:type="dxa"/>
          </w:tcPr>
          <w:p w14:paraId="1AA8D017" w14:textId="77777777" w:rsidR="00047F72" w:rsidRDefault="00C02C39">
            <w:pPr>
              <w:cnfStyle w:val="000000010000" w:firstRow="0" w:lastRow="0" w:firstColumn="0" w:lastColumn="0" w:oddVBand="0" w:evenVBand="0" w:oddHBand="0" w:evenHBand="1" w:firstRowFirstColumn="0" w:firstRowLastColumn="0" w:lastRowFirstColumn="0" w:lastRowLastColumn="0"/>
            </w:pPr>
            <w:r>
              <w:t>17.71%</w:t>
            </w:r>
          </w:p>
        </w:tc>
      </w:tr>
      <w:tr w:rsidR="00047F72" w14:paraId="43E1E682" w14:textId="77777777" w:rsidTr="003F611C">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14:paraId="16081987" w14:textId="77777777" w:rsidR="00047F72" w:rsidRDefault="00C02C39">
            <w:r>
              <w:t>Not sure</w:t>
            </w:r>
          </w:p>
        </w:tc>
        <w:tc>
          <w:tcPr>
            <w:tcW w:w="712" w:type="dxa"/>
          </w:tcPr>
          <w:p w14:paraId="4FC80C49" w14:textId="77777777" w:rsidR="00047F72" w:rsidRDefault="00C02C39">
            <w:pPr>
              <w:cnfStyle w:val="000000100000" w:firstRow="0" w:lastRow="0" w:firstColumn="0" w:lastColumn="0" w:oddVBand="0" w:evenVBand="0" w:oddHBand="1" w:evenHBand="0" w:firstRowFirstColumn="0" w:firstRowLastColumn="0" w:lastRowFirstColumn="0" w:lastRowLastColumn="0"/>
            </w:pPr>
            <w:r>
              <w:t>30</w:t>
            </w:r>
          </w:p>
        </w:tc>
        <w:tc>
          <w:tcPr>
            <w:tcW w:w="944" w:type="dxa"/>
          </w:tcPr>
          <w:p w14:paraId="488C27DB" w14:textId="77777777" w:rsidR="00047F72" w:rsidRDefault="00C02C39">
            <w:pPr>
              <w:cnfStyle w:val="000000100000" w:firstRow="0" w:lastRow="0" w:firstColumn="0" w:lastColumn="0" w:oddVBand="0" w:evenVBand="0" w:oddHBand="1" w:evenHBand="0" w:firstRowFirstColumn="0" w:firstRowLastColumn="0" w:lastRowFirstColumn="0" w:lastRowLastColumn="0"/>
            </w:pPr>
            <w:r>
              <w:t>31.25%</w:t>
            </w:r>
          </w:p>
        </w:tc>
      </w:tr>
      <w:tr w:rsidR="00047F72" w14:paraId="09CC4262" w14:textId="77777777" w:rsidTr="003F611C">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14:paraId="4C54DCEC" w14:textId="77777777" w:rsidR="00047F72" w:rsidRDefault="00C02C39">
            <w:r>
              <w:t>Disagree</w:t>
            </w:r>
          </w:p>
        </w:tc>
        <w:tc>
          <w:tcPr>
            <w:tcW w:w="712" w:type="dxa"/>
          </w:tcPr>
          <w:p w14:paraId="6EAC1F73" w14:textId="77777777" w:rsidR="00047F72" w:rsidRDefault="00C02C39">
            <w:pPr>
              <w:cnfStyle w:val="000000010000" w:firstRow="0" w:lastRow="0" w:firstColumn="0" w:lastColumn="0" w:oddVBand="0" w:evenVBand="0" w:oddHBand="0" w:evenHBand="1" w:firstRowFirstColumn="0" w:firstRowLastColumn="0" w:lastRowFirstColumn="0" w:lastRowLastColumn="0"/>
            </w:pPr>
            <w:r>
              <w:t>18</w:t>
            </w:r>
          </w:p>
        </w:tc>
        <w:tc>
          <w:tcPr>
            <w:tcW w:w="944" w:type="dxa"/>
          </w:tcPr>
          <w:p w14:paraId="5C3F7730" w14:textId="77777777" w:rsidR="00047F72" w:rsidRDefault="00C02C39">
            <w:pPr>
              <w:cnfStyle w:val="000000010000" w:firstRow="0" w:lastRow="0" w:firstColumn="0" w:lastColumn="0" w:oddVBand="0" w:evenVBand="0" w:oddHBand="0" w:evenHBand="1" w:firstRowFirstColumn="0" w:firstRowLastColumn="0" w:lastRowFirstColumn="0" w:lastRowLastColumn="0"/>
            </w:pPr>
            <w:r>
              <w:t>18.75%</w:t>
            </w:r>
          </w:p>
        </w:tc>
      </w:tr>
      <w:tr w:rsidR="00047F72" w14:paraId="0C176059" w14:textId="77777777" w:rsidTr="003F611C">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14:paraId="7C1B6A30" w14:textId="77777777" w:rsidR="00047F72" w:rsidRDefault="00C02C39">
            <w:r>
              <w:t>Strongly disagree</w:t>
            </w:r>
          </w:p>
        </w:tc>
        <w:tc>
          <w:tcPr>
            <w:tcW w:w="712" w:type="dxa"/>
          </w:tcPr>
          <w:p w14:paraId="42C5A34E" w14:textId="77777777" w:rsidR="00047F72" w:rsidRDefault="00C02C39">
            <w:pPr>
              <w:cnfStyle w:val="000000100000" w:firstRow="0" w:lastRow="0" w:firstColumn="0" w:lastColumn="0" w:oddVBand="0" w:evenVBand="0" w:oddHBand="1" w:evenHBand="0" w:firstRowFirstColumn="0" w:firstRowLastColumn="0" w:lastRowFirstColumn="0" w:lastRowLastColumn="0"/>
            </w:pPr>
            <w:r>
              <w:t>9</w:t>
            </w:r>
          </w:p>
        </w:tc>
        <w:tc>
          <w:tcPr>
            <w:tcW w:w="944" w:type="dxa"/>
          </w:tcPr>
          <w:p w14:paraId="3316C885" w14:textId="77777777" w:rsidR="00047F72" w:rsidRDefault="00C02C39">
            <w:pPr>
              <w:cnfStyle w:val="000000100000" w:firstRow="0" w:lastRow="0" w:firstColumn="0" w:lastColumn="0" w:oddVBand="0" w:evenVBand="0" w:oddHBand="1" w:evenHBand="0" w:firstRowFirstColumn="0" w:firstRowLastColumn="0" w:lastRowFirstColumn="0" w:lastRowLastColumn="0"/>
            </w:pPr>
            <w:r>
              <w:t>9.38%</w:t>
            </w:r>
          </w:p>
        </w:tc>
      </w:tr>
      <w:tr w:rsidR="00047F72" w14:paraId="500B343D" w14:textId="77777777" w:rsidTr="003F611C">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998" w:type="dxa"/>
          </w:tcPr>
          <w:p w14:paraId="77D7FB7D" w14:textId="77777777" w:rsidR="00047F72" w:rsidRDefault="00C02C39">
            <w:r>
              <w:t>Not Answered</w:t>
            </w:r>
          </w:p>
        </w:tc>
        <w:tc>
          <w:tcPr>
            <w:tcW w:w="712" w:type="dxa"/>
          </w:tcPr>
          <w:p w14:paraId="33D7DD5A" w14:textId="77777777" w:rsidR="00047F72" w:rsidRDefault="00C02C39">
            <w:pPr>
              <w:cnfStyle w:val="000000010000" w:firstRow="0" w:lastRow="0" w:firstColumn="0" w:lastColumn="0" w:oddVBand="0" w:evenVBand="0" w:oddHBand="0" w:evenHBand="1" w:firstRowFirstColumn="0" w:firstRowLastColumn="0" w:lastRowFirstColumn="0" w:lastRowLastColumn="0"/>
            </w:pPr>
            <w:r>
              <w:t>1</w:t>
            </w:r>
          </w:p>
        </w:tc>
        <w:tc>
          <w:tcPr>
            <w:tcW w:w="944" w:type="dxa"/>
          </w:tcPr>
          <w:p w14:paraId="7B5391BF" w14:textId="77777777" w:rsidR="00047F72" w:rsidRDefault="00C02C39">
            <w:pPr>
              <w:cnfStyle w:val="000000010000" w:firstRow="0" w:lastRow="0" w:firstColumn="0" w:lastColumn="0" w:oddVBand="0" w:evenVBand="0" w:oddHBand="0" w:evenHBand="1" w:firstRowFirstColumn="0" w:firstRowLastColumn="0" w:lastRowFirstColumn="0" w:lastRowLastColumn="0"/>
            </w:pPr>
            <w:r>
              <w:t>1.04%</w:t>
            </w:r>
          </w:p>
        </w:tc>
      </w:tr>
    </w:tbl>
    <w:p w14:paraId="58DFD8B5" w14:textId="77777777" w:rsidR="00047F72" w:rsidRDefault="00047F72"/>
    <w:p w14:paraId="1E897BB6" w14:textId="77777777" w:rsidR="000506C1" w:rsidRPr="000506C1" w:rsidRDefault="000506C1">
      <w:pPr>
        <w:rPr>
          <w:b/>
          <w:color w:val="0070C0"/>
        </w:rPr>
      </w:pPr>
      <w:r w:rsidRPr="000506C1">
        <w:rPr>
          <w:b/>
          <w:color w:val="0070C0"/>
        </w:rPr>
        <w:t>Other comments</w:t>
      </w:r>
    </w:p>
    <w:p w14:paraId="1B5BB46F" w14:textId="5A9DC5C6" w:rsidR="00047F72" w:rsidRPr="00482A72" w:rsidRDefault="00C02C39" w:rsidP="00482A72">
      <w:pPr>
        <w:pStyle w:val="Heading2"/>
        <w:rPr>
          <w:rFonts w:ascii="Arial" w:hAnsi="Arial" w:cs="Arial"/>
          <w:b w:val="0"/>
          <w:color w:val="auto"/>
          <w:sz w:val="24"/>
          <w:szCs w:val="24"/>
        </w:rPr>
      </w:pPr>
      <w:r w:rsidRPr="00482A72">
        <w:rPr>
          <w:rFonts w:ascii="Arial" w:hAnsi="Arial" w:cs="Arial"/>
          <w:b w:val="0"/>
          <w:color w:val="auto"/>
          <w:sz w:val="24"/>
          <w:szCs w:val="24"/>
        </w:rPr>
        <w:t>There were 33 responses to this part of the question.</w:t>
      </w:r>
      <w:r w:rsidR="00A85B9F" w:rsidRPr="00482A72">
        <w:rPr>
          <w:rFonts w:ascii="Arial" w:hAnsi="Arial" w:cs="Arial"/>
          <w:b w:val="0"/>
          <w:color w:val="auto"/>
          <w:sz w:val="24"/>
          <w:szCs w:val="24"/>
        </w:rPr>
        <w:t xml:space="preserve"> </w:t>
      </w:r>
      <w:r w:rsidR="003A183C">
        <w:rPr>
          <w:rFonts w:ascii="Arial" w:hAnsi="Arial" w:cs="Arial"/>
          <w:b w:val="0"/>
          <w:color w:val="auto"/>
          <w:sz w:val="24"/>
          <w:szCs w:val="24"/>
        </w:rPr>
        <w:t>The data suggests less strong support for this amendment, with s</w:t>
      </w:r>
      <w:r w:rsidR="00A85B9F" w:rsidRPr="00482A72">
        <w:rPr>
          <w:rFonts w:ascii="Arial" w:hAnsi="Arial" w:cs="Arial"/>
          <w:b w:val="0"/>
          <w:color w:val="auto"/>
          <w:sz w:val="24"/>
          <w:szCs w:val="24"/>
        </w:rPr>
        <w:t xml:space="preserve">everal respondents advised against </w:t>
      </w:r>
      <w:r w:rsidR="00482A72" w:rsidRPr="00482A72">
        <w:rPr>
          <w:rFonts w:ascii="Arial" w:hAnsi="Arial" w:cs="Arial"/>
          <w:b w:val="0"/>
          <w:color w:val="auto"/>
          <w:sz w:val="24"/>
          <w:szCs w:val="24"/>
        </w:rPr>
        <w:t xml:space="preserve">allowing </w:t>
      </w:r>
      <w:r w:rsidR="00A85B9F" w:rsidRPr="00482A72">
        <w:rPr>
          <w:rFonts w:ascii="Arial" w:hAnsi="Arial" w:cs="Arial"/>
          <w:b w:val="0"/>
          <w:color w:val="auto"/>
          <w:sz w:val="24"/>
          <w:szCs w:val="24"/>
        </w:rPr>
        <w:t>any exemption from environmental requirements and restrictions. For example:</w:t>
      </w:r>
    </w:p>
    <w:p w14:paraId="2825CC75" w14:textId="04558EA8" w:rsidR="00A85B9F" w:rsidRPr="00A85B9F" w:rsidRDefault="003A183C" w:rsidP="00A85B9F">
      <w:pPr>
        <w:spacing w:after="0" w:line="240" w:lineRule="auto"/>
        <w:rPr>
          <w:rFonts w:ascii="Calibri" w:eastAsia="Times New Roman" w:hAnsi="Calibri" w:cs="Calibri"/>
          <w:i/>
          <w:lang w:val="en-GB" w:eastAsia="en-GB"/>
        </w:rPr>
      </w:pPr>
      <w:r>
        <w:rPr>
          <w:rFonts w:ascii="Calibri" w:eastAsia="Times New Roman" w:hAnsi="Calibri" w:cs="Calibri"/>
          <w:i/>
          <w:lang w:val="en-GB" w:eastAsia="en-GB"/>
        </w:rPr>
        <w:t>“</w:t>
      </w:r>
      <w:r w:rsidR="00A85B9F" w:rsidRPr="00A85B9F">
        <w:rPr>
          <w:rFonts w:ascii="Calibri" w:eastAsia="Times New Roman" w:hAnsi="Calibri" w:cs="Calibri"/>
          <w:i/>
          <w:lang w:val="en-GB" w:eastAsia="en-GB"/>
        </w:rPr>
        <w:t>Free of charges yes.  But not allowed to operate in a way forbidden for other traders.</w:t>
      </w:r>
      <w:r>
        <w:rPr>
          <w:rFonts w:ascii="Calibri" w:eastAsia="Times New Roman" w:hAnsi="Calibri" w:cs="Calibri"/>
          <w:i/>
          <w:lang w:val="en-GB" w:eastAsia="en-GB"/>
        </w:rPr>
        <w:t>”</w:t>
      </w:r>
    </w:p>
    <w:p w14:paraId="4D217EF1" w14:textId="77777777" w:rsidR="00A85B9F" w:rsidRDefault="00A85B9F" w:rsidP="00A85B9F">
      <w:pPr>
        <w:spacing w:after="0" w:line="240" w:lineRule="auto"/>
        <w:rPr>
          <w:rFonts w:ascii="Calibri" w:eastAsia="Times New Roman" w:hAnsi="Calibri" w:cs="Calibri"/>
          <w:i/>
          <w:lang w:val="en-GB" w:eastAsia="en-GB"/>
        </w:rPr>
      </w:pPr>
    </w:p>
    <w:p w14:paraId="190FC69C" w14:textId="7278BADB" w:rsidR="00A85B9F" w:rsidRDefault="003A183C" w:rsidP="00A85B9F">
      <w:pPr>
        <w:spacing w:after="0" w:line="240" w:lineRule="auto"/>
        <w:rPr>
          <w:rFonts w:ascii="Calibri" w:eastAsia="Times New Roman" w:hAnsi="Calibri" w:cs="Calibri"/>
          <w:lang w:val="en-GB" w:eastAsia="en-GB"/>
        </w:rPr>
      </w:pPr>
      <w:r>
        <w:rPr>
          <w:rFonts w:ascii="Calibri" w:eastAsia="Times New Roman" w:hAnsi="Calibri" w:cs="Calibri"/>
          <w:i/>
          <w:lang w:val="en-GB" w:eastAsia="en-GB"/>
        </w:rPr>
        <w:t>“</w:t>
      </w:r>
      <w:r w:rsidR="00A85B9F" w:rsidRPr="00A85B9F">
        <w:rPr>
          <w:rFonts w:ascii="Calibri" w:eastAsia="Times New Roman" w:hAnsi="Calibri" w:cs="Calibri"/>
          <w:i/>
          <w:lang w:val="en-GB" w:eastAsia="en-GB"/>
        </w:rPr>
        <w:t>Charities and community events are not exempt.  They should be responsible</w:t>
      </w:r>
      <w:r w:rsidR="00A85B9F" w:rsidRPr="00A85B9F">
        <w:rPr>
          <w:rFonts w:ascii="Calibri" w:eastAsia="Times New Roman" w:hAnsi="Calibri" w:cs="Calibri"/>
          <w:lang w:val="en-GB" w:eastAsia="en-GB"/>
        </w:rPr>
        <w:t>.</w:t>
      </w:r>
      <w:r>
        <w:rPr>
          <w:rFonts w:ascii="Calibri" w:eastAsia="Times New Roman" w:hAnsi="Calibri" w:cs="Calibri"/>
          <w:lang w:val="en-GB" w:eastAsia="en-GB"/>
        </w:rPr>
        <w:t>”</w:t>
      </w:r>
    </w:p>
    <w:p w14:paraId="2B1BD523" w14:textId="77777777" w:rsidR="003A183C" w:rsidRDefault="003A183C" w:rsidP="00A85B9F">
      <w:pPr>
        <w:spacing w:after="0" w:line="240" w:lineRule="auto"/>
        <w:rPr>
          <w:rFonts w:ascii="Calibri" w:eastAsia="Times New Roman" w:hAnsi="Calibri" w:cs="Calibri"/>
          <w:lang w:val="en-GB" w:eastAsia="en-GB"/>
        </w:rPr>
      </w:pPr>
    </w:p>
    <w:p w14:paraId="0D430719" w14:textId="13DA1543" w:rsidR="00A85B9F" w:rsidRPr="003A183C" w:rsidRDefault="003A183C" w:rsidP="00A85B9F">
      <w:pPr>
        <w:spacing w:after="0" w:line="240" w:lineRule="auto"/>
        <w:rPr>
          <w:rFonts w:eastAsia="Times New Roman" w:cs="Arial"/>
          <w:sz w:val="24"/>
          <w:szCs w:val="24"/>
          <w:lang w:val="en-GB" w:eastAsia="en-GB"/>
        </w:rPr>
      </w:pPr>
      <w:r w:rsidRPr="003A183C">
        <w:rPr>
          <w:rFonts w:eastAsia="Times New Roman" w:cs="Arial"/>
          <w:b/>
          <w:sz w:val="24"/>
          <w:szCs w:val="24"/>
          <w:lang w:val="en-GB" w:eastAsia="en-GB"/>
        </w:rPr>
        <w:t>Officer comment</w:t>
      </w:r>
      <w:r w:rsidRPr="003A183C">
        <w:rPr>
          <w:rFonts w:cs="Arial"/>
          <w:sz w:val="24"/>
          <w:szCs w:val="24"/>
        </w:rPr>
        <w:t xml:space="preserve"> </w:t>
      </w:r>
      <w:r w:rsidR="009C39F8">
        <w:rPr>
          <w:rFonts w:cs="Arial"/>
          <w:sz w:val="24"/>
          <w:szCs w:val="24"/>
        </w:rPr>
        <w:t>verbatim comments indicate that respondents may have misunderstood the scope of exemption for community and charity events.</w:t>
      </w:r>
      <w:r w:rsidRPr="003A183C">
        <w:rPr>
          <w:rFonts w:eastAsia="Times New Roman" w:cs="Arial"/>
          <w:sz w:val="24"/>
          <w:szCs w:val="24"/>
          <w:lang w:val="en-GB" w:eastAsia="en-GB"/>
        </w:rPr>
        <w:t xml:space="preserve">The proposed amendment relates solely to whether fees are charges </w:t>
      </w:r>
      <w:r w:rsidR="009C39F8">
        <w:rPr>
          <w:rFonts w:eastAsia="Times New Roman" w:cs="Arial"/>
          <w:sz w:val="24"/>
          <w:szCs w:val="24"/>
          <w:lang w:val="en-GB" w:eastAsia="en-GB"/>
        </w:rPr>
        <w:t xml:space="preserve">apply </w:t>
      </w:r>
      <w:r w:rsidRPr="003A183C">
        <w:rPr>
          <w:rFonts w:eastAsia="Times New Roman" w:cs="Arial"/>
          <w:sz w:val="24"/>
          <w:szCs w:val="24"/>
          <w:lang w:val="en-GB" w:eastAsia="en-GB"/>
        </w:rPr>
        <w:t>and does not exempt any Street Trading activity from the provisions of the Street Trading Policy</w:t>
      </w:r>
    </w:p>
    <w:p w14:paraId="5928A3B9" w14:textId="306E7718" w:rsidR="00A85B9F" w:rsidRDefault="00A85B9F">
      <w:pPr>
        <w:rPr>
          <w:rFonts w:ascii="Calibri" w:hAnsi="Calibri" w:cs="Calibri"/>
          <w:i/>
        </w:rPr>
      </w:pPr>
    </w:p>
    <w:p w14:paraId="202FD9C1" w14:textId="77777777" w:rsidR="00172CDF" w:rsidRDefault="00172CDF" w:rsidP="00172CDF">
      <w:pPr>
        <w:pStyle w:val="Heading2"/>
        <w:numPr>
          <w:ilvl w:val="1"/>
          <w:numId w:val="10"/>
        </w:numPr>
      </w:pPr>
      <w:r>
        <w:lastRenderedPageBreak/>
        <w:t>Any other comments about the Street trading Policy</w:t>
      </w:r>
    </w:p>
    <w:p w14:paraId="27BC49DB" w14:textId="2583A530" w:rsidR="00047F72" w:rsidRDefault="00C02C39">
      <w:r>
        <w:t>There were 32 respons</w:t>
      </w:r>
      <w:r w:rsidR="009C39F8">
        <w:t xml:space="preserve">es to this part of the question, covering a wide range of topics. A repeated concern was that the single use plastic measure would take some time to comply with given that most traders will have stock to use up and may need to find new suppliers. </w:t>
      </w:r>
    </w:p>
    <w:p w14:paraId="099CA05C" w14:textId="77777777" w:rsidR="005D2C9E" w:rsidRDefault="005D2C9E" w:rsidP="005D2C9E">
      <w:pPr>
        <w:spacing w:after="0" w:line="240" w:lineRule="auto"/>
        <w:rPr>
          <w:rFonts w:ascii="Calibri" w:eastAsia="Times New Roman" w:hAnsi="Calibri" w:cs="Calibri"/>
          <w:i/>
          <w:lang w:val="en-GB" w:eastAsia="en-GB"/>
        </w:rPr>
      </w:pPr>
      <w:r w:rsidRPr="005D2C9E">
        <w:rPr>
          <w:rFonts w:ascii="Calibri" w:eastAsia="Times New Roman" w:hAnsi="Calibri" w:cs="Calibri"/>
          <w:i/>
          <w:lang w:val="en-GB" w:eastAsia="en-GB"/>
        </w:rPr>
        <w:t>It's important that these changes are done in a way to minimise the "hit" small, independent businesses have to take. Making sure they have enough time, information and support to adapt</w:t>
      </w:r>
    </w:p>
    <w:p w14:paraId="58C091F5" w14:textId="35994A78" w:rsidR="005D2C9E" w:rsidRDefault="005D2C9E" w:rsidP="005D2C9E">
      <w:pPr>
        <w:spacing w:after="0" w:line="240" w:lineRule="auto"/>
        <w:rPr>
          <w:rFonts w:ascii="Calibri" w:eastAsia="Times New Roman" w:hAnsi="Calibri" w:cs="Calibri"/>
          <w:i/>
          <w:lang w:val="en-GB" w:eastAsia="en-GB"/>
        </w:rPr>
      </w:pPr>
    </w:p>
    <w:p w14:paraId="6257276C" w14:textId="4664DE4E" w:rsidR="005D2C9E" w:rsidRDefault="005D2C9E" w:rsidP="009C39F8">
      <w:pPr>
        <w:spacing w:after="0" w:line="240" w:lineRule="auto"/>
        <w:rPr>
          <w:rFonts w:ascii="Calibri" w:eastAsia="Times New Roman" w:hAnsi="Calibri" w:cs="Calibri"/>
          <w:i/>
          <w:lang w:val="en-GB" w:eastAsia="en-GB"/>
        </w:rPr>
      </w:pPr>
    </w:p>
    <w:sectPr w:rsidR="005D2C9E" w:rsidSect="00034616">
      <w:headerReference w:type="default" r:id="rId15"/>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05DD" w16cex:dateUtc="2023-01-17T11:32:00Z"/>
  <w16cex:commentExtensible w16cex:durableId="277106C8" w16cex:dateUtc="2023-01-17T11:36:00Z"/>
  <w16cex:commentExtensible w16cex:durableId="277106D8" w16cex:dateUtc="2023-01-17T11:36:00Z"/>
  <w16cex:commentExtensible w16cex:durableId="27710879" w16cex:dateUtc="2023-01-17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95CB4" w16cid:durableId="27710428"/>
  <w16cid:commentId w16cid:paraId="29D6132C" w16cid:durableId="27710429"/>
  <w16cid:commentId w16cid:paraId="6374169A" w16cid:durableId="277105DD"/>
  <w16cid:commentId w16cid:paraId="516F3064" w16cid:durableId="277106C8"/>
  <w16cid:commentId w16cid:paraId="14A19814" w16cid:durableId="277106D8"/>
  <w16cid:commentId w16cid:paraId="14AA5827" w16cid:durableId="2771042A"/>
  <w16cid:commentId w16cid:paraId="6604897C" w16cid:durableId="2771042B"/>
  <w16cid:commentId w16cid:paraId="571B5886" w16cid:durableId="2771042C"/>
  <w16cid:commentId w16cid:paraId="4F1FFDE5" w16cid:durableId="2771042D"/>
  <w16cid:commentId w16cid:paraId="5708B176" w16cid:durableId="27710879"/>
  <w16cid:commentId w16cid:paraId="195C25A4" w16cid:durableId="2771042E"/>
  <w16cid:commentId w16cid:paraId="7F1CCA2F" w16cid:durableId="2771042F"/>
  <w16cid:commentId w16cid:paraId="0E856377" w16cid:durableId="27710430"/>
  <w16cid:commentId w16cid:paraId="2E457F68" w16cid:durableId="277104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5904E" w14:textId="77777777" w:rsidR="00B61BA6" w:rsidRDefault="00C02C39">
      <w:pPr>
        <w:spacing w:after="0" w:line="240" w:lineRule="auto"/>
      </w:pPr>
      <w:r>
        <w:separator/>
      </w:r>
    </w:p>
  </w:endnote>
  <w:endnote w:type="continuationSeparator" w:id="0">
    <w:p w14:paraId="1AFA3611" w14:textId="77777777" w:rsidR="00B61BA6" w:rsidRDefault="00C0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FCB6D" w14:textId="77777777" w:rsidR="00B61BA6" w:rsidRDefault="00C02C39">
      <w:pPr>
        <w:spacing w:after="0" w:line="240" w:lineRule="auto"/>
      </w:pPr>
      <w:r>
        <w:separator/>
      </w:r>
    </w:p>
  </w:footnote>
  <w:footnote w:type="continuationSeparator" w:id="0">
    <w:p w14:paraId="0C1006FF" w14:textId="77777777" w:rsidR="00B61BA6" w:rsidRDefault="00C02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170C" w14:textId="77777777" w:rsidR="00047F72" w:rsidRPr="00A13D68" w:rsidRDefault="00A13D68">
    <w:pPr>
      <w:pStyle w:val="Header"/>
      <w:rPr>
        <w:b/>
        <w:sz w:val="28"/>
        <w:szCs w:val="28"/>
        <w:lang w:val="en-GB"/>
      </w:rPr>
    </w:pPr>
    <w:r>
      <w:rPr>
        <w:b/>
        <w:sz w:val="28"/>
        <w:szCs w:val="28"/>
        <w:lang w:val="en-GB"/>
      </w:rPr>
      <w:t xml:space="preserve">Street Trading Policy Consultation 2022-23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E4361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0302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260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AA0C25"/>
    <w:multiLevelType w:val="hybridMultilevel"/>
    <w:tmpl w:val="1FFC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666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A93A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9E1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2"/>
  </w:num>
  <w:num w:numId="12">
    <w:abstractNumId w:val="15"/>
  </w:num>
  <w:num w:numId="13">
    <w:abstractNumId w:val="11"/>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538E"/>
    <w:rsid w:val="00034616"/>
    <w:rsid w:val="00047F72"/>
    <w:rsid w:val="000506C1"/>
    <w:rsid w:val="0006063C"/>
    <w:rsid w:val="00071221"/>
    <w:rsid w:val="000760D5"/>
    <w:rsid w:val="000F3F69"/>
    <w:rsid w:val="001145F5"/>
    <w:rsid w:val="00130A81"/>
    <w:rsid w:val="0015074B"/>
    <w:rsid w:val="00172CDF"/>
    <w:rsid w:val="00274937"/>
    <w:rsid w:val="00293464"/>
    <w:rsid w:val="0029639D"/>
    <w:rsid w:val="002C323B"/>
    <w:rsid w:val="00326F90"/>
    <w:rsid w:val="00333487"/>
    <w:rsid w:val="003466B1"/>
    <w:rsid w:val="00377384"/>
    <w:rsid w:val="003A183C"/>
    <w:rsid w:val="003F611C"/>
    <w:rsid w:val="00431D8F"/>
    <w:rsid w:val="00435F25"/>
    <w:rsid w:val="00437325"/>
    <w:rsid w:val="00451069"/>
    <w:rsid w:val="00482A72"/>
    <w:rsid w:val="00487277"/>
    <w:rsid w:val="00494CA1"/>
    <w:rsid w:val="005169F3"/>
    <w:rsid w:val="00550F09"/>
    <w:rsid w:val="005D2C9E"/>
    <w:rsid w:val="005E363C"/>
    <w:rsid w:val="005F21E0"/>
    <w:rsid w:val="00642462"/>
    <w:rsid w:val="00695749"/>
    <w:rsid w:val="006A3D6F"/>
    <w:rsid w:val="006E52FC"/>
    <w:rsid w:val="0079452A"/>
    <w:rsid w:val="007B3EF0"/>
    <w:rsid w:val="00860D6A"/>
    <w:rsid w:val="008730FC"/>
    <w:rsid w:val="00875562"/>
    <w:rsid w:val="008A2546"/>
    <w:rsid w:val="00900E64"/>
    <w:rsid w:val="00917D3F"/>
    <w:rsid w:val="00944A84"/>
    <w:rsid w:val="009C39F8"/>
    <w:rsid w:val="009D5DAF"/>
    <w:rsid w:val="00A13D68"/>
    <w:rsid w:val="00A45883"/>
    <w:rsid w:val="00A8566C"/>
    <w:rsid w:val="00A85B9F"/>
    <w:rsid w:val="00AA1D8D"/>
    <w:rsid w:val="00AC7276"/>
    <w:rsid w:val="00AE0A11"/>
    <w:rsid w:val="00AF3066"/>
    <w:rsid w:val="00B47730"/>
    <w:rsid w:val="00B61BA6"/>
    <w:rsid w:val="00B7544C"/>
    <w:rsid w:val="00BD650E"/>
    <w:rsid w:val="00C02C39"/>
    <w:rsid w:val="00C60DFB"/>
    <w:rsid w:val="00C64CB5"/>
    <w:rsid w:val="00CB0664"/>
    <w:rsid w:val="00D44539"/>
    <w:rsid w:val="00D767DD"/>
    <w:rsid w:val="00D8139A"/>
    <w:rsid w:val="00DE34AC"/>
    <w:rsid w:val="00DF4405"/>
    <w:rsid w:val="00E17C6C"/>
    <w:rsid w:val="00E83614"/>
    <w:rsid w:val="00EE39B3"/>
    <w:rsid w:val="00EF7201"/>
    <w:rsid w:val="00F62B6B"/>
    <w:rsid w:val="00F72771"/>
    <w:rsid w:val="00F837E1"/>
    <w:rsid w:val="00FC693F"/>
    <w:rsid w:val="00FE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C22E3"/>
  <w14:defaultImageDpi w14:val="300"/>
  <w15:docId w15:val="{1ED7F374-8AB2-4C9A-9EDE-CB7C08D0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rPr>
      <w:rFonts w:ascii="Arial" w:hAnsi="Arial"/>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A13D68"/>
    <w:rPr>
      <w:color w:val="0000FF" w:themeColor="hyperlink"/>
      <w:u w:val="single"/>
    </w:rPr>
  </w:style>
  <w:style w:type="character" w:styleId="CommentReference">
    <w:name w:val="annotation reference"/>
    <w:basedOn w:val="DefaultParagraphFont"/>
    <w:uiPriority w:val="99"/>
    <w:semiHidden/>
    <w:unhideWhenUsed/>
    <w:rsid w:val="00435F25"/>
    <w:rPr>
      <w:sz w:val="16"/>
      <w:szCs w:val="16"/>
    </w:rPr>
  </w:style>
  <w:style w:type="paragraph" w:styleId="CommentText">
    <w:name w:val="annotation text"/>
    <w:basedOn w:val="Normal"/>
    <w:link w:val="CommentTextChar"/>
    <w:uiPriority w:val="99"/>
    <w:semiHidden/>
    <w:unhideWhenUsed/>
    <w:rsid w:val="00435F25"/>
    <w:pPr>
      <w:spacing w:line="240" w:lineRule="auto"/>
    </w:pPr>
    <w:rPr>
      <w:sz w:val="20"/>
      <w:szCs w:val="20"/>
    </w:rPr>
  </w:style>
  <w:style w:type="character" w:customStyle="1" w:styleId="CommentTextChar">
    <w:name w:val="Comment Text Char"/>
    <w:basedOn w:val="DefaultParagraphFont"/>
    <w:link w:val="CommentText"/>
    <w:uiPriority w:val="99"/>
    <w:semiHidden/>
    <w:rsid w:val="00435F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5F25"/>
    <w:rPr>
      <w:b/>
      <w:bCs/>
    </w:rPr>
  </w:style>
  <w:style w:type="character" w:customStyle="1" w:styleId="CommentSubjectChar">
    <w:name w:val="Comment Subject Char"/>
    <w:basedOn w:val="CommentTextChar"/>
    <w:link w:val="CommentSubject"/>
    <w:uiPriority w:val="99"/>
    <w:semiHidden/>
    <w:rsid w:val="00435F25"/>
    <w:rPr>
      <w:rFonts w:ascii="Arial" w:hAnsi="Arial"/>
      <w:b/>
      <w:bCs/>
      <w:sz w:val="20"/>
      <w:szCs w:val="20"/>
    </w:rPr>
  </w:style>
  <w:style w:type="paragraph" w:styleId="BalloonText">
    <w:name w:val="Balloon Text"/>
    <w:basedOn w:val="Normal"/>
    <w:link w:val="BalloonTextChar"/>
    <w:uiPriority w:val="99"/>
    <w:semiHidden/>
    <w:unhideWhenUsed/>
    <w:rsid w:val="00435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25"/>
    <w:rPr>
      <w:rFonts w:ascii="Segoe UI" w:hAnsi="Segoe UI" w:cs="Segoe UI"/>
      <w:sz w:val="18"/>
      <w:szCs w:val="18"/>
    </w:rPr>
  </w:style>
  <w:style w:type="character" w:customStyle="1" w:styleId="UnresolvedMention">
    <w:name w:val="Unresolved Mention"/>
    <w:basedOn w:val="DefaultParagraphFont"/>
    <w:uiPriority w:val="99"/>
    <w:semiHidden/>
    <w:unhideWhenUsed/>
    <w:rsid w:val="00E83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209">
      <w:bodyDiv w:val="1"/>
      <w:marLeft w:val="0"/>
      <w:marRight w:val="0"/>
      <w:marTop w:val="0"/>
      <w:marBottom w:val="0"/>
      <w:divBdr>
        <w:top w:val="none" w:sz="0" w:space="0" w:color="auto"/>
        <w:left w:val="none" w:sz="0" w:space="0" w:color="auto"/>
        <w:bottom w:val="none" w:sz="0" w:space="0" w:color="auto"/>
        <w:right w:val="none" w:sz="0" w:space="0" w:color="auto"/>
      </w:divBdr>
    </w:div>
    <w:div w:id="39214240">
      <w:bodyDiv w:val="1"/>
      <w:marLeft w:val="0"/>
      <w:marRight w:val="0"/>
      <w:marTop w:val="0"/>
      <w:marBottom w:val="0"/>
      <w:divBdr>
        <w:top w:val="none" w:sz="0" w:space="0" w:color="auto"/>
        <w:left w:val="none" w:sz="0" w:space="0" w:color="auto"/>
        <w:bottom w:val="none" w:sz="0" w:space="0" w:color="auto"/>
        <w:right w:val="none" w:sz="0" w:space="0" w:color="auto"/>
      </w:divBdr>
    </w:div>
    <w:div w:id="109249486">
      <w:bodyDiv w:val="1"/>
      <w:marLeft w:val="0"/>
      <w:marRight w:val="0"/>
      <w:marTop w:val="0"/>
      <w:marBottom w:val="0"/>
      <w:divBdr>
        <w:top w:val="none" w:sz="0" w:space="0" w:color="auto"/>
        <w:left w:val="none" w:sz="0" w:space="0" w:color="auto"/>
        <w:bottom w:val="none" w:sz="0" w:space="0" w:color="auto"/>
        <w:right w:val="none" w:sz="0" w:space="0" w:color="auto"/>
      </w:divBdr>
    </w:div>
    <w:div w:id="114643146">
      <w:bodyDiv w:val="1"/>
      <w:marLeft w:val="0"/>
      <w:marRight w:val="0"/>
      <w:marTop w:val="0"/>
      <w:marBottom w:val="0"/>
      <w:divBdr>
        <w:top w:val="none" w:sz="0" w:space="0" w:color="auto"/>
        <w:left w:val="none" w:sz="0" w:space="0" w:color="auto"/>
        <w:bottom w:val="none" w:sz="0" w:space="0" w:color="auto"/>
        <w:right w:val="none" w:sz="0" w:space="0" w:color="auto"/>
      </w:divBdr>
    </w:div>
    <w:div w:id="116143733">
      <w:bodyDiv w:val="1"/>
      <w:marLeft w:val="0"/>
      <w:marRight w:val="0"/>
      <w:marTop w:val="0"/>
      <w:marBottom w:val="0"/>
      <w:divBdr>
        <w:top w:val="none" w:sz="0" w:space="0" w:color="auto"/>
        <w:left w:val="none" w:sz="0" w:space="0" w:color="auto"/>
        <w:bottom w:val="none" w:sz="0" w:space="0" w:color="auto"/>
        <w:right w:val="none" w:sz="0" w:space="0" w:color="auto"/>
      </w:divBdr>
    </w:div>
    <w:div w:id="128211883">
      <w:bodyDiv w:val="1"/>
      <w:marLeft w:val="0"/>
      <w:marRight w:val="0"/>
      <w:marTop w:val="0"/>
      <w:marBottom w:val="0"/>
      <w:divBdr>
        <w:top w:val="none" w:sz="0" w:space="0" w:color="auto"/>
        <w:left w:val="none" w:sz="0" w:space="0" w:color="auto"/>
        <w:bottom w:val="none" w:sz="0" w:space="0" w:color="auto"/>
        <w:right w:val="none" w:sz="0" w:space="0" w:color="auto"/>
      </w:divBdr>
    </w:div>
    <w:div w:id="159584416">
      <w:bodyDiv w:val="1"/>
      <w:marLeft w:val="0"/>
      <w:marRight w:val="0"/>
      <w:marTop w:val="0"/>
      <w:marBottom w:val="0"/>
      <w:divBdr>
        <w:top w:val="none" w:sz="0" w:space="0" w:color="auto"/>
        <w:left w:val="none" w:sz="0" w:space="0" w:color="auto"/>
        <w:bottom w:val="none" w:sz="0" w:space="0" w:color="auto"/>
        <w:right w:val="none" w:sz="0" w:space="0" w:color="auto"/>
      </w:divBdr>
    </w:div>
    <w:div w:id="187566162">
      <w:bodyDiv w:val="1"/>
      <w:marLeft w:val="0"/>
      <w:marRight w:val="0"/>
      <w:marTop w:val="0"/>
      <w:marBottom w:val="0"/>
      <w:divBdr>
        <w:top w:val="none" w:sz="0" w:space="0" w:color="auto"/>
        <w:left w:val="none" w:sz="0" w:space="0" w:color="auto"/>
        <w:bottom w:val="none" w:sz="0" w:space="0" w:color="auto"/>
        <w:right w:val="none" w:sz="0" w:space="0" w:color="auto"/>
      </w:divBdr>
    </w:div>
    <w:div w:id="191041562">
      <w:bodyDiv w:val="1"/>
      <w:marLeft w:val="0"/>
      <w:marRight w:val="0"/>
      <w:marTop w:val="0"/>
      <w:marBottom w:val="0"/>
      <w:divBdr>
        <w:top w:val="none" w:sz="0" w:space="0" w:color="auto"/>
        <w:left w:val="none" w:sz="0" w:space="0" w:color="auto"/>
        <w:bottom w:val="none" w:sz="0" w:space="0" w:color="auto"/>
        <w:right w:val="none" w:sz="0" w:space="0" w:color="auto"/>
      </w:divBdr>
    </w:div>
    <w:div w:id="236323845">
      <w:bodyDiv w:val="1"/>
      <w:marLeft w:val="0"/>
      <w:marRight w:val="0"/>
      <w:marTop w:val="0"/>
      <w:marBottom w:val="0"/>
      <w:divBdr>
        <w:top w:val="none" w:sz="0" w:space="0" w:color="auto"/>
        <w:left w:val="none" w:sz="0" w:space="0" w:color="auto"/>
        <w:bottom w:val="none" w:sz="0" w:space="0" w:color="auto"/>
        <w:right w:val="none" w:sz="0" w:space="0" w:color="auto"/>
      </w:divBdr>
    </w:div>
    <w:div w:id="280842659">
      <w:bodyDiv w:val="1"/>
      <w:marLeft w:val="0"/>
      <w:marRight w:val="0"/>
      <w:marTop w:val="0"/>
      <w:marBottom w:val="0"/>
      <w:divBdr>
        <w:top w:val="none" w:sz="0" w:space="0" w:color="auto"/>
        <w:left w:val="none" w:sz="0" w:space="0" w:color="auto"/>
        <w:bottom w:val="none" w:sz="0" w:space="0" w:color="auto"/>
        <w:right w:val="none" w:sz="0" w:space="0" w:color="auto"/>
      </w:divBdr>
    </w:div>
    <w:div w:id="304697736">
      <w:bodyDiv w:val="1"/>
      <w:marLeft w:val="0"/>
      <w:marRight w:val="0"/>
      <w:marTop w:val="0"/>
      <w:marBottom w:val="0"/>
      <w:divBdr>
        <w:top w:val="none" w:sz="0" w:space="0" w:color="auto"/>
        <w:left w:val="none" w:sz="0" w:space="0" w:color="auto"/>
        <w:bottom w:val="none" w:sz="0" w:space="0" w:color="auto"/>
        <w:right w:val="none" w:sz="0" w:space="0" w:color="auto"/>
      </w:divBdr>
    </w:div>
    <w:div w:id="342127410">
      <w:bodyDiv w:val="1"/>
      <w:marLeft w:val="0"/>
      <w:marRight w:val="0"/>
      <w:marTop w:val="0"/>
      <w:marBottom w:val="0"/>
      <w:divBdr>
        <w:top w:val="none" w:sz="0" w:space="0" w:color="auto"/>
        <w:left w:val="none" w:sz="0" w:space="0" w:color="auto"/>
        <w:bottom w:val="none" w:sz="0" w:space="0" w:color="auto"/>
        <w:right w:val="none" w:sz="0" w:space="0" w:color="auto"/>
      </w:divBdr>
    </w:div>
    <w:div w:id="452016459">
      <w:bodyDiv w:val="1"/>
      <w:marLeft w:val="0"/>
      <w:marRight w:val="0"/>
      <w:marTop w:val="0"/>
      <w:marBottom w:val="0"/>
      <w:divBdr>
        <w:top w:val="none" w:sz="0" w:space="0" w:color="auto"/>
        <w:left w:val="none" w:sz="0" w:space="0" w:color="auto"/>
        <w:bottom w:val="none" w:sz="0" w:space="0" w:color="auto"/>
        <w:right w:val="none" w:sz="0" w:space="0" w:color="auto"/>
      </w:divBdr>
    </w:div>
    <w:div w:id="515847116">
      <w:bodyDiv w:val="1"/>
      <w:marLeft w:val="0"/>
      <w:marRight w:val="0"/>
      <w:marTop w:val="0"/>
      <w:marBottom w:val="0"/>
      <w:divBdr>
        <w:top w:val="none" w:sz="0" w:space="0" w:color="auto"/>
        <w:left w:val="none" w:sz="0" w:space="0" w:color="auto"/>
        <w:bottom w:val="none" w:sz="0" w:space="0" w:color="auto"/>
        <w:right w:val="none" w:sz="0" w:space="0" w:color="auto"/>
      </w:divBdr>
    </w:div>
    <w:div w:id="542524538">
      <w:bodyDiv w:val="1"/>
      <w:marLeft w:val="0"/>
      <w:marRight w:val="0"/>
      <w:marTop w:val="0"/>
      <w:marBottom w:val="0"/>
      <w:divBdr>
        <w:top w:val="none" w:sz="0" w:space="0" w:color="auto"/>
        <w:left w:val="none" w:sz="0" w:space="0" w:color="auto"/>
        <w:bottom w:val="none" w:sz="0" w:space="0" w:color="auto"/>
        <w:right w:val="none" w:sz="0" w:space="0" w:color="auto"/>
      </w:divBdr>
    </w:div>
    <w:div w:id="584848902">
      <w:bodyDiv w:val="1"/>
      <w:marLeft w:val="0"/>
      <w:marRight w:val="0"/>
      <w:marTop w:val="0"/>
      <w:marBottom w:val="0"/>
      <w:divBdr>
        <w:top w:val="none" w:sz="0" w:space="0" w:color="auto"/>
        <w:left w:val="none" w:sz="0" w:space="0" w:color="auto"/>
        <w:bottom w:val="none" w:sz="0" w:space="0" w:color="auto"/>
        <w:right w:val="none" w:sz="0" w:space="0" w:color="auto"/>
      </w:divBdr>
    </w:div>
    <w:div w:id="642151241">
      <w:bodyDiv w:val="1"/>
      <w:marLeft w:val="0"/>
      <w:marRight w:val="0"/>
      <w:marTop w:val="0"/>
      <w:marBottom w:val="0"/>
      <w:divBdr>
        <w:top w:val="none" w:sz="0" w:space="0" w:color="auto"/>
        <w:left w:val="none" w:sz="0" w:space="0" w:color="auto"/>
        <w:bottom w:val="none" w:sz="0" w:space="0" w:color="auto"/>
        <w:right w:val="none" w:sz="0" w:space="0" w:color="auto"/>
      </w:divBdr>
    </w:div>
    <w:div w:id="698287070">
      <w:bodyDiv w:val="1"/>
      <w:marLeft w:val="0"/>
      <w:marRight w:val="0"/>
      <w:marTop w:val="0"/>
      <w:marBottom w:val="0"/>
      <w:divBdr>
        <w:top w:val="none" w:sz="0" w:space="0" w:color="auto"/>
        <w:left w:val="none" w:sz="0" w:space="0" w:color="auto"/>
        <w:bottom w:val="none" w:sz="0" w:space="0" w:color="auto"/>
        <w:right w:val="none" w:sz="0" w:space="0" w:color="auto"/>
      </w:divBdr>
    </w:div>
    <w:div w:id="705715848">
      <w:bodyDiv w:val="1"/>
      <w:marLeft w:val="0"/>
      <w:marRight w:val="0"/>
      <w:marTop w:val="0"/>
      <w:marBottom w:val="0"/>
      <w:divBdr>
        <w:top w:val="none" w:sz="0" w:space="0" w:color="auto"/>
        <w:left w:val="none" w:sz="0" w:space="0" w:color="auto"/>
        <w:bottom w:val="none" w:sz="0" w:space="0" w:color="auto"/>
        <w:right w:val="none" w:sz="0" w:space="0" w:color="auto"/>
      </w:divBdr>
    </w:div>
    <w:div w:id="787510968">
      <w:bodyDiv w:val="1"/>
      <w:marLeft w:val="0"/>
      <w:marRight w:val="0"/>
      <w:marTop w:val="0"/>
      <w:marBottom w:val="0"/>
      <w:divBdr>
        <w:top w:val="none" w:sz="0" w:space="0" w:color="auto"/>
        <w:left w:val="none" w:sz="0" w:space="0" w:color="auto"/>
        <w:bottom w:val="none" w:sz="0" w:space="0" w:color="auto"/>
        <w:right w:val="none" w:sz="0" w:space="0" w:color="auto"/>
      </w:divBdr>
    </w:div>
    <w:div w:id="815142009">
      <w:bodyDiv w:val="1"/>
      <w:marLeft w:val="0"/>
      <w:marRight w:val="0"/>
      <w:marTop w:val="0"/>
      <w:marBottom w:val="0"/>
      <w:divBdr>
        <w:top w:val="none" w:sz="0" w:space="0" w:color="auto"/>
        <w:left w:val="none" w:sz="0" w:space="0" w:color="auto"/>
        <w:bottom w:val="none" w:sz="0" w:space="0" w:color="auto"/>
        <w:right w:val="none" w:sz="0" w:space="0" w:color="auto"/>
      </w:divBdr>
    </w:div>
    <w:div w:id="836768960">
      <w:bodyDiv w:val="1"/>
      <w:marLeft w:val="0"/>
      <w:marRight w:val="0"/>
      <w:marTop w:val="0"/>
      <w:marBottom w:val="0"/>
      <w:divBdr>
        <w:top w:val="none" w:sz="0" w:space="0" w:color="auto"/>
        <w:left w:val="none" w:sz="0" w:space="0" w:color="auto"/>
        <w:bottom w:val="none" w:sz="0" w:space="0" w:color="auto"/>
        <w:right w:val="none" w:sz="0" w:space="0" w:color="auto"/>
      </w:divBdr>
    </w:div>
    <w:div w:id="852652064">
      <w:bodyDiv w:val="1"/>
      <w:marLeft w:val="0"/>
      <w:marRight w:val="0"/>
      <w:marTop w:val="0"/>
      <w:marBottom w:val="0"/>
      <w:divBdr>
        <w:top w:val="none" w:sz="0" w:space="0" w:color="auto"/>
        <w:left w:val="none" w:sz="0" w:space="0" w:color="auto"/>
        <w:bottom w:val="none" w:sz="0" w:space="0" w:color="auto"/>
        <w:right w:val="none" w:sz="0" w:space="0" w:color="auto"/>
      </w:divBdr>
    </w:div>
    <w:div w:id="903640122">
      <w:bodyDiv w:val="1"/>
      <w:marLeft w:val="0"/>
      <w:marRight w:val="0"/>
      <w:marTop w:val="0"/>
      <w:marBottom w:val="0"/>
      <w:divBdr>
        <w:top w:val="none" w:sz="0" w:space="0" w:color="auto"/>
        <w:left w:val="none" w:sz="0" w:space="0" w:color="auto"/>
        <w:bottom w:val="none" w:sz="0" w:space="0" w:color="auto"/>
        <w:right w:val="none" w:sz="0" w:space="0" w:color="auto"/>
      </w:divBdr>
    </w:div>
    <w:div w:id="908269052">
      <w:bodyDiv w:val="1"/>
      <w:marLeft w:val="0"/>
      <w:marRight w:val="0"/>
      <w:marTop w:val="0"/>
      <w:marBottom w:val="0"/>
      <w:divBdr>
        <w:top w:val="none" w:sz="0" w:space="0" w:color="auto"/>
        <w:left w:val="none" w:sz="0" w:space="0" w:color="auto"/>
        <w:bottom w:val="none" w:sz="0" w:space="0" w:color="auto"/>
        <w:right w:val="none" w:sz="0" w:space="0" w:color="auto"/>
      </w:divBdr>
    </w:div>
    <w:div w:id="973825704">
      <w:bodyDiv w:val="1"/>
      <w:marLeft w:val="0"/>
      <w:marRight w:val="0"/>
      <w:marTop w:val="0"/>
      <w:marBottom w:val="0"/>
      <w:divBdr>
        <w:top w:val="none" w:sz="0" w:space="0" w:color="auto"/>
        <w:left w:val="none" w:sz="0" w:space="0" w:color="auto"/>
        <w:bottom w:val="none" w:sz="0" w:space="0" w:color="auto"/>
        <w:right w:val="none" w:sz="0" w:space="0" w:color="auto"/>
      </w:divBdr>
    </w:div>
    <w:div w:id="974993238">
      <w:bodyDiv w:val="1"/>
      <w:marLeft w:val="0"/>
      <w:marRight w:val="0"/>
      <w:marTop w:val="0"/>
      <w:marBottom w:val="0"/>
      <w:divBdr>
        <w:top w:val="none" w:sz="0" w:space="0" w:color="auto"/>
        <w:left w:val="none" w:sz="0" w:space="0" w:color="auto"/>
        <w:bottom w:val="none" w:sz="0" w:space="0" w:color="auto"/>
        <w:right w:val="none" w:sz="0" w:space="0" w:color="auto"/>
      </w:divBdr>
    </w:div>
    <w:div w:id="976494833">
      <w:bodyDiv w:val="1"/>
      <w:marLeft w:val="0"/>
      <w:marRight w:val="0"/>
      <w:marTop w:val="0"/>
      <w:marBottom w:val="0"/>
      <w:divBdr>
        <w:top w:val="none" w:sz="0" w:space="0" w:color="auto"/>
        <w:left w:val="none" w:sz="0" w:space="0" w:color="auto"/>
        <w:bottom w:val="none" w:sz="0" w:space="0" w:color="auto"/>
        <w:right w:val="none" w:sz="0" w:space="0" w:color="auto"/>
      </w:divBdr>
    </w:div>
    <w:div w:id="1007027105">
      <w:bodyDiv w:val="1"/>
      <w:marLeft w:val="0"/>
      <w:marRight w:val="0"/>
      <w:marTop w:val="0"/>
      <w:marBottom w:val="0"/>
      <w:divBdr>
        <w:top w:val="none" w:sz="0" w:space="0" w:color="auto"/>
        <w:left w:val="none" w:sz="0" w:space="0" w:color="auto"/>
        <w:bottom w:val="none" w:sz="0" w:space="0" w:color="auto"/>
        <w:right w:val="none" w:sz="0" w:space="0" w:color="auto"/>
      </w:divBdr>
    </w:div>
    <w:div w:id="1084915231">
      <w:bodyDiv w:val="1"/>
      <w:marLeft w:val="0"/>
      <w:marRight w:val="0"/>
      <w:marTop w:val="0"/>
      <w:marBottom w:val="0"/>
      <w:divBdr>
        <w:top w:val="none" w:sz="0" w:space="0" w:color="auto"/>
        <w:left w:val="none" w:sz="0" w:space="0" w:color="auto"/>
        <w:bottom w:val="none" w:sz="0" w:space="0" w:color="auto"/>
        <w:right w:val="none" w:sz="0" w:space="0" w:color="auto"/>
      </w:divBdr>
    </w:div>
    <w:div w:id="1174224314">
      <w:bodyDiv w:val="1"/>
      <w:marLeft w:val="0"/>
      <w:marRight w:val="0"/>
      <w:marTop w:val="0"/>
      <w:marBottom w:val="0"/>
      <w:divBdr>
        <w:top w:val="none" w:sz="0" w:space="0" w:color="auto"/>
        <w:left w:val="none" w:sz="0" w:space="0" w:color="auto"/>
        <w:bottom w:val="none" w:sz="0" w:space="0" w:color="auto"/>
        <w:right w:val="none" w:sz="0" w:space="0" w:color="auto"/>
      </w:divBdr>
    </w:div>
    <w:div w:id="1227037303">
      <w:bodyDiv w:val="1"/>
      <w:marLeft w:val="0"/>
      <w:marRight w:val="0"/>
      <w:marTop w:val="0"/>
      <w:marBottom w:val="0"/>
      <w:divBdr>
        <w:top w:val="none" w:sz="0" w:space="0" w:color="auto"/>
        <w:left w:val="none" w:sz="0" w:space="0" w:color="auto"/>
        <w:bottom w:val="none" w:sz="0" w:space="0" w:color="auto"/>
        <w:right w:val="none" w:sz="0" w:space="0" w:color="auto"/>
      </w:divBdr>
    </w:div>
    <w:div w:id="1233782431">
      <w:bodyDiv w:val="1"/>
      <w:marLeft w:val="0"/>
      <w:marRight w:val="0"/>
      <w:marTop w:val="0"/>
      <w:marBottom w:val="0"/>
      <w:divBdr>
        <w:top w:val="none" w:sz="0" w:space="0" w:color="auto"/>
        <w:left w:val="none" w:sz="0" w:space="0" w:color="auto"/>
        <w:bottom w:val="none" w:sz="0" w:space="0" w:color="auto"/>
        <w:right w:val="none" w:sz="0" w:space="0" w:color="auto"/>
      </w:divBdr>
    </w:div>
    <w:div w:id="1240408680">
      <w:bodyDiv w:val="1"/>
      <w:marLeft w:val="0"/>
      <w:marRight w:val="0"/>
      <w:marTop w:val="0"/>
      <w:marBottom w:val="0"/>
      <w:divBdr>
        <w:top w:val="none" w:sz="0" w:space="0" w:color="auto"/>
        <w:left w:val="none" w:sz="0" w:space="0" w:color="auto"/>
        <w:bottom w:val="none" w:sz="0" w:space="0" w:color="auto"/>
        <w:right w:val="none" w:sz="0" w:space="0" w:color="auto"/>
      </w:divBdr>
    </w:div>
    <w:div w:id="1243568647">
      <w:bodyDiv w:val="1"/>
      <w:marLeft w:val="0"/>
      <w:marRight w:val="0"/>
      <w:marTop w:val="0"/>
      <w:marBottom w:val="0"/>
      <w:divBdr>
        <w:top w:val="none" w:sz="0" w:space="0" w:color="auto"/>
        <w:left w:val="none" w:sz="0" w:space="0" w:color="auto"/>
        <w:bottom w:val="none" w:sz="0" w:space="0" w:color="auto"/>
        <w:right w:val="none" w:sz="0" w:space="0" w:color="auto"/>
      </w:divBdr>
    </w:div>
    <w:div w:id="1338146497">
      <w:bodyDiv w:val="1"/>
      <w:marLeft w:val="0"/>
      <w:marRight w:val="0"/>
      <w:marTop w:val="0"/>
      <w:marBottom w:val="0"/>
      <w:divBdr>
        <w:top w:val="none" w:sz="0" w:space="0" w:color="auto"/>
        <w:left w:val="none" w:sz="0" w:space="0" w:color="auto"/>
        <w:bottom w:val="none" w:sz="0" w:space="0" w:color="auto"/>
        <w:right w:val="none" w:sz="0" w:space="0" w:color="auto"/>
      </w:divBdr>
    </w:div>
    <w:div w:id="1399476380">
      <w:bodyDiv w:val="1"/>
      <w:marLeft w:val="0"/>
      <w:marRight w:val="0"/>
      <w:marTop w:val="0"/>
      <w:marBottom w:val="0"/>
      <w:divBdr>
        <w:top w:val="none" w:sz="0" w:space="0" w:color="auto"/>
        <w:left w:val="none" w:sz="0" w:space="0" w:color="auto"/>
        <w:bottom w:val="none" w:sz="0" w:space="0" w:color="auto"/>
        <w:right w:val="none" w:sz="0" w:space="0" w:color="auto"/>
      </w:divBdr>
    </w:div>
    <w:div w:id="1413238823">
      <w:bodyDiv w:val="1"/>
      <w:marLeft w:val="0"/>
      <w:marRight w:val="0"/>
      <w:marTop w:val="0"/>
      <w:marBottom w:val="0"/>
      <w:divBdr>
        <w:top w:val="none" w:sz="0" w:space="0" w:color="auto"/>
        <w:left w:val="none" w:sz="0" w:space="0" w:color="auto"/>
        <w:bottom w:val="none" w:sz="0" w:space="0" w:color="auto"/>
        <w:right w:val="none" w:sz="0" w:space="0" w:color="auto"/>
      </w:divBdr>
    </w:div>
    <w:div w:id="1434011057">
      <w:bodyDiv w:val="1"/>
      <w:marLeft w:val="0"/>
      <w:marRight w:val="0"/>
      <w:marTop w:val="0"/>
      <w:marBottom w:val="0"/>
      <w:divBdr>
        <w:top w:val="none" w:sz="0" w:space="0" w:color="auto"/>
        <w:left w:val="none" w:sz="0" w:space="0" w:color="auto"/>
        <w:bottom w:val="none" w:sz="0" w:space="0" w:color="auto"/>
        <w:right w:val="none" w:sz="0" w:space="0" w:color="auto"/>
      </w:divBdr>
    </w:div>
    <w:div w:id="1491364930">
      <w:bodyDiv w:val="1"/>
      <w:marLeft w:val="0"/>
      <w:marRight w:val="0"/>
      <w:marTop w:val="0"/>
      <w:marBottom w:val="0"/>
      <w:divBdr>
        <w:top w:val="none" w:sz="0" w:space="0" w:color="auto"/>
        <w:left w:val="none" w:sz="0" w:space="0" w:color="auto"/>
        <w:bottom w:val="none" w:sz="0" w:space="0" w:color="auto"/>
        <w:right w:val="none" w:sz="0" w:space="0" w:color="auto"/>
      </w:divBdr>
    </w:div>
    <w:div w:id="1625580360">
      <w:bodyDiv w:val="1"/>
      <w:marLeft w:val="0"/>
      <w:marRight w:val="0"/>
      <w:marTop w:val="0"/>
      <w:marBottom w:val="0"/>
      <w:divBdr>
        <w:top w:val="none" w:sz="0" w:space="0" w:color="auto"/>
        <w:left w:val="none" w:sz="0" w:space="0" w:color="auto"/>
        <w:bottom w:val="none" w:sz="0" w:space="0" w:color="auto"/>
        <w:right w:val="none" w:sz="0" w:space="0" w:color="auto"/>
      </w:divBdr>
    </w:div>
    <w:div w:id="1633779343">
      <w:bodyDiv w:val="1"/>
      <w:marLeft w:val="0"/>
      <w:marRight w:val="0"/>
      <w:marTop w:val="0"/>
      <w:marBottom w:val="0"/>
      <w:divBdr>
        <w:top w:val="none" w:sz="0" w:space="0" w:color="auto"/>
        <w:left w:val="none" w:sz="0" w:space="0" w:color="auto"/>
        <w:bottom w:val="none" w:sz="0" w:space="0" w:color="auto"/>
        <w:right w:val="none" w:sz="0" w:space="0" w:color="auto"/>
      </w:divBdr>
    </w:div>
    <w:div w:id="1662999437">
      <w:bodyDiv w:val="1"/>
      <w:marLeft w:val="0"/>
      <w:marRight w:val="0"/>
      <w:marTop w:val="0"/>
      <w:marBottom w:val="0"/>
      <w:divBdr>
        <w:top w:val="none" w:sz="0" w:space="0" w:color="auto"/>
        <w:left w:val="none" w:sz="0" w:space="0" w:color="auto"/>
        <w:bottom w:val="none" w:sz="0" w:space="0" w:color="auto"/>
        <w:right w:val="none" w:sz="0" w:space="0" w:color="auto"/>
      </w:divBdr>
    </w:div>
    <w:div w:id="1790973727">
      <w:bodyDiv w:val="1"/>
      <w:marLeft w:val="0"/>
      <w:marRight w:val="0"/>
      <w:marTop w:val="0"/>
      <w:marBottom w:val="0"/>
      <w:divBdr>
        <w:top w:val="none" w:sz="0" w:space="0" w:color="auto"/>
        <w:left w:val="none" w:sz="0" w:space="0" w:color="auto"/>
        <w:bottom w:val="none" w:sz="0" w:space="0" w:color="auto"/>
        <w:right w:val="none" w:sz="0" w:space="0" w:color="auto"/>
      </w:divBdr>
    </w:div>
    <w:div w:id="1810131498">
      <w:bodyDiv w:val="1"/>
      <w:marLeft w:val="0"/>
      <w:marRight w:val="0"/>
      <w:marTop w:val="0"/>
      <w:marBottom w:val="0"/>
      <w:divBdr>
        <w:top w:val="none" w:sz="0" w:space="0" w:color="auto"/>
        <w:left w:val="none" w:sz="0" w:space="0" w:color="auto"/>
        <w:bottom w:val="none" w:sz="0" w:space="0" w:color="auto"/>
        <w:right w:val="none" w:sz="0" w:space="0" w:color="auto"/>
      </w:divBdr>
    </w:div>
    <w:div w:id="1856579790">
      <w:bodyDiv w:val="1"/>
      <w:marLeft w:val="0"/>
      <w:marRight w:val="0"/>
      <w:marTop w:val="0"/>
      <w:marBottom w:val="0"/>
      <w:divBdr>
        <w:top w:val="none" w:sz="0" w:space="0" w:color="auto"/>
        <w:left w:val="none" w:sz="0" w:space="0" w:color="auto"/>
        <w:bottom w:val="none" w:sz="0" w:space="0" w:color="auto"/>
        <w:right w:val="none" w:sz="0" w:space="0" w:color="auto"/>
      </w:divBdr>
    </w:div>
    <w:div w:id="1893078431">
      <w:bodyDiv w:val="1"/>
      <w:marLeft w:val="0"/>
      <w:marRight w:val="0"/>
      <w:marTop w:val="0"/>
      <w:marBottom w:val="0"/>
      <w:divBdr>
        <w:top w:val="none" w:sz="0" w:space="0" w:color="auto"/>
        <w:left w:val="none" w:sz="0" w:space="0" w:color="auto"/>
        <w:bottom w:val="none" w:sz="0" w:space="0" w:color="auto"/>
        <w:right w:val="none" w:sz="0" w:space="0" w:color="auto"/>
      </w:divBdr>
    </w:div>
    <w:div w:id="1944846882">
      <w:bodyDiv w:val="1"/>
      <w:marLeft w:val="0"/>
      <w:marRight w:val="0"/>
      <w:marTop w:val="0"/>
      <w:marBottom w:val="0"/>
      <w:divBdr>
        <w:top w:val="none" w:sz="0" w:space="0" w:color="auto"/>
        <w:left w:val="none" w:sz="0" w:space="0" w:color="auto"/>
        <w:bottom w:val="none" w:sz="0" w:space="0" w:color="auto"/>
        <w:right w:val="none" w:sz="0" w:space="0" w:color="auto"/>
      </w:divBdr>
    </w:div>
    <w:div w:id="1973780276">
      <w:bodyDiv w:val="1"/>
      <w:marLeft w:val="0"/>
      <w:marRight w:val="0"/>
      <w:marTop w:val="0"/>
      <w:marBottom w:val="0"/>
      <w:divBdr>
        <w:top w:val="none" w:sz="0" w:space="0" w:color="auto"/>
        <w:left w:val="none" w:sz="0" w:space="0" w:color="auto"/>
        <w:bottom w:val="none" w:sz="0" w:space="0" w:color="auto"/>
        <w:right w:val="none" w:sz="0" w:space="0" w:color="auto"/>
      </w:divBdr>
    </w:div>
    <w:div w:id="1999335129">
      <w:bodyDiv w:val="1"/>
      <w:marLeft w:val="0"/>
      <w:marRight w:val="0"/>
      <w:marTop w:val="0"/>
      <w:marBottom w:val="0"/>
      <w:divBdr>
        <w:top w:val="none" w:sz="0" w:space="0" w:color="auto"/>
        <w:left w:val="none" w:sz="0" w:space="0" w:color="auto"/>
        <w:bottom w:val="none" w:sz="0" w:space="0" w:color="auto"/>
        <w:right w:val="none" w:sz="0" w:space="0" w:color="auto"/>
      </w:divBdr>
    </w:div>
    <w:div w:id="1999576916">
      <w:bodyDiv w:val="1"/>
      <w:marLeft w:val="0"/>
      <w:marRight w:val="0"/>
      <w:marTop w:val="0"/>
      <w:marBottom w:val="0"/>
      <w:divBdr>
        <w:top w:val="none" w:sz="0" w:space="0" w:color="auto"/>
        <w:left w:val="none" w:sz="0" w:space="0" w:color="auto"/>
        <w:bottom w:val="none" w:sz="0" w:space="0" w:color="auto"/>
        <w:right w:val="none" w:sz="0" w:space="0" w:color="auto"/>
      </w:divBdr>
    </w:div>
    <w:div w:id="2008748250">
      <w:bodyDiv w:val="1"/>
      <w:marLeft w:val="0"/>
      <w:marRight w:val="0"/>
      <w:marTop w:val="0"/>
      <w:marBottom w:val="0"/>
      <w:divBdr>
        <w:top w:val="none" w:sz="0" w:space="0" w:color="auto"/>
        <w:left w:val="none" w:sz="0" w:space="0" w:color="auto"/>
        <w:bottom w:val="none" w:sz="0" w:space="0" w:color="auto"/>
        <w:right w:val="none" w:sz="0" w:space="0" w:color="auto"/>
      </w:divBdr>
    </w:div>
    <w:div w:id="2044090638">
      <w:bodyDiv w:val="1"/>
      <w:marLeft w:val="0"/>
      <w:marRight w:val="0"/>
      <w:marTop w:val="0"/>
      <w:marBottom w:val="0"/>
      <w:divBdr>
        <w:top w:val="none" w:sz="0" w:space="0" w:color="auto"/>
        <w:left w:val="none" w:sz="0" w:space="0" w:color="auto"/>
        <w:bottom w:val="none" w:sz="0" w:space="0" w:color="auto"/>
        <w:right w:val="none" w:sz="0" w:space="0" w:color="auto"/>
      </w:divBdr>
    </w:div>
    <w:div w:id="2044403726">
      <w:bodyDiv w:val="1"/>
      <w:marLeft w:val="0"/>
      <w:marRight w:val="0"/>
      <w:marTop w:val="0"/>
      <w:marBottom w:val="0"/>
      <w:divBdr>
        <w:top w:val="none" w:sz="0" w:space="0" w:color="auto"/>
        <w:left w:val="none" w:sz="0" w:space="0" w:color="auto"/>
        <w:bottom w:val="none" w:sz="0" w:space="0" w:color="auto"/>
        <w:right w:val="none" w:sz="0" w:space="0" w:color="auto"/>
      </w:divBdr>
    </w:div>
    <w:div w:id="2096200329">
      <w:bodyDiv w:val="1"/>
      <w:marLeft w:val="0"/>
      <w:marRight w:val="0"/>
      <w:marTop w:val="0"/>
      <w:marBottom w:val="0"/>
      <w:divBdr>
        <w:top w:val="none" w:sz="0" w:space="0" w:color="auto"/>
        <w:left w:val="none" w:sz="0" w:space="0" w:color="auto"/>
        <w:bottom w:val="none" w:sz="0" w:space="0" w:color="auto"/>
        <w:right w:val="none" w:sz="0" w:space="0" w:color="auto"/>
      </w:divBdr>
    </w:div>
    <w:div w:id="2113275967">
      <w:bodyDiv w:val="1"/>
      <w:marLeft w:val="0"/>
      <w:marRight w:val="0"/>
      <w:marTop w:val="0"/>
      <w:marBottom w:val="0"/>
      <w:divBdr>
        <w:top w:val="none" w:sz="0" w:space="0" w:color="auto"/>
        <w:left w:val="none" w:sz="0" w:space="0" w:color="auto"/>
        <w:bottom w:val="none" w:sz="0" w:space="0" w:color="auto"/>
        <w:right w:val="none" w:sz="0" w:space="0" w:color="auto"/>
      </w:divBdr>
    </w:div>
    <w:div w:id="2140755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oxford.gov.uk/regulatory-services-and-community-services/street-trading-policy-review-2022-23" TargetMode="External"/><Relationship Id="rId13" Type="http://schemas.openxmlformats.org/officeDocument/2006/relationships/chart" Target="charts/chart5.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c:style val="3"/>
  <c:chart>
    <c:autoTitleDeleted val="1"/>
    <c:plotArea>
      <c:layout/>
      <c:barChart>
        <c:barDir val="bar"/>
        <c:grouping val="clustered"/>
        <c:varyColors val="1"/>
        <c:ser>
          <c:idx val="0"/>
          <c:order val="0"/>
          <c:tx>
            <c:strRef>
              <c:f>Sheet1!$B$1</c:f>
              <c:strCache>
                <c:ptCount val="1"/>
                <c:pt idx="0">
                  <c:v>capacity</c:v>
                </c:pt>
              </c:strCache>
            </c:strRef>
          </c:tx>
          <c:invertIfNegative val="1"/>
          <c:cat>
            <c:strRef>
              <c:f>Sheet1!$A$2:$A$6</c:f>
              <c:strCache>
                <c:ptCount val="5"/>
                <c:pt idx="0">
                  <c:v>Not Answered</c:v>
                </c:pt>
                <c:pt idx="1">
                  <c:v>Street Trading Consent Holder</c:v>
                </c:pt>
                <c:pt idx="2">
                  <c:v>On behalf of an organisation/company/com
munity group</c:v>
                </c:pt>
                <c:pt idx="3">
                  <c:v>Member of the public (not Oxford residen
t)</c:v>
                </c:pt>
                <c:pt idx="4">
                  <c:v>Member of the public (Oxford resident)</c:v>
                </c:pt>
              </c:strCache>
            </c:strRef>
          </c:cat>
          <c:val>
            <c:numRef>
              <c:f>Sheet1!$B$2:$B$6</c:f>
              <c:numCache>
                <c:formatCode>General</c:formatCode>
                <c:ptCount val="5"/>
                <c:pt idx="0">
                  <c:v>2</c:v>
                </c:pt>
                <c:pt idx="1">
                  <c:v>2</c:v>
                </c:pt>
                <c:pt idx="2">
                  <c:v>8</c:v>
                </c:pt>
                <c:pt idx="3">
                  <c:v>16</c:v>
                </c:pt>
                <c:pt idx="4">
                  <c:v>68</c:v>
                </c:pt>
              </c:numCache>
            </c:numRef>
          </c:val>
          <c:extLst xmlns:c16r2="http://schemas.microsoft.com/office/drawing/2015/06/chart">
            <c:ext xmlns:c16="http://schemas.microsoft.com/office/drawing/2014/chart" uri="{C3380CC4-5D6E-409C-BE32-E72D297353CC}">
              <c16:uniqueId val="{00000000-9AA9-43A9-BAB6-30B32AB45260}"/>
            </c:ext>
          </c:extLst>
        </c:ser>
        <c:dLbls>
          <c:showLegendKey val="0"/>
          <c:showVal val="0"/>
          <c:showCatName val="0"/>
          <c:showSerName val="0"/>
          <c:showPercent val="0"/>
          <c:showBubbleSize val="0"/>
        </c:dLbls>
        <c:gapWidth val="150"/>
        <c:axId val="524523048"/>
        <c:axId val="524521480"/>
      </c:barChart>
      <c:catAx>
        <c:axId val="524523048"/>
        <c:scaling>
          <c:orientation val="minMax"/>
        </c:scaling>
        <c:delete val="0"/>
        <c:axPos val="l"/>
        <c:numFmt formatCode="General" sourceLinked="0"/>
        <c:majorTickMark val="out"/>
        <c:minorTickMark val="none"/>
        <c:tickLblPos val="nextTo"/>
        <c:txPr>
          <a:bodyPr/>
          <a:lstStyle/>
          <a:p>
            <a:pPr>
              <a:defRPr sz="1100"/>
            </a:pPr>
            <a:endParaRPr lang="en-US"/>
          </a:p>
        </c:txPr>
        <c:crossAx val="524521480"/>
        <c:crosses val="autoZero"/>
        <c:auto val="1"/>
        <c:lblAlgn val="ctr"/>
        <c:lblOffset val="100"/>
        <c:noMultiLvlLbl val="0"/>
      </c:catAx>
      <c:valAx>
        <c:axId val="524521480"/>
        <c:scaling>
          <c:orientation val="minMax"/>
          <c:min val="0"/>
        </c:scaling>
        <c:delete val="0"/>
        <c:axPos val="b"/>
        <c:numFmt formatCode="General" sourceLinked="1"/>
        <c:majorTickMark val="out"/>
        <c:minorTickMark val="none"/>
        <c:tickLblPos val="nextTo"/>
        <c:txPr>
          <a:bodyPr/>
          <a:lstStyle/>
          <a:p>
            <a:pPr>
              <a:defRPr sz="900"/>
            </a:pPr>
            <a:endParaRPr lang="en-US"/>
          </a:p>
        </c:txPr>
        <c:crossAx val="524523048"/>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c:style val="3"/>
  <c:chart>
    <c:autoTitleDeleted val="1"/>
    <c:plotArea>
      <c:layout/>
      <c:barChart>
        <c:barDir val="bar"/>
        <c:grouping val="clustered"/>
        <c:varyColors val="1"/>
        <c:ser>
          <c:idx val="0"/>
          <c:order val="0"/>
          <c:tx>
            <c:strRef>
              <c:f>Sheet1!$B$1</c:f>
              <c:strCache>
                <c:ptCount val="1"/>
                <c:pt idx="0">
                  <c:v>agree or not</c:v>
                </c:pt>
              </c:strCache>
            </c:strRef>
          </c:tx>
          <c:invertIfNegative val="1"/>
          <c:cat>
            <c:strRef>
              <c:f>Sheet1!$A$2:$A$7</c:f>
              <c:strCache>
                <c:ptCount val="6"/>
                <c:pt idx="0">
                  <c:v>Not Answered</c:v>
                </c:pt>
                <c:pt idx="1">
                  <c:v>Strongly disagree</c:v>
                </c:pt>
                <c:pt idx="2">
                  <c:v>Disagree</c:v>
                </c:pt>
                <c:pt idx="3">
                  <c:v>Not sure</c:v>
                </c:pt>
                <c:pt idx="4">
                  <c:v>Agree</c:v>
                </c:pt>
                <c:pt idx="5">
                  <c:v>Strongly agree</c:v>
                </c:pt>
              </c:strCache>
            </c:strRef>
          </c:cat>
          <c:val>
            <c:numRef>
              <c:f>Sheet1!$B$2:$B$7</c:f>
              <c:numCache>
                <c:formatCode>General</c:formatCode>
                <c:ptCount val="6"/>
                <c:pt idx="0">
                  <c:v>1</c:v>
                </c:pt>
                <c:pt idx="1">
                  <c:v>2</c:v>
                </c:pt>
                <c:pt idx="2">
                  <c:v>2</c:v>
                </c:pt>
                <c:pt idx="3">
                  <c:v>4</c:v>
                </c:pt>
                <c:pt idx="4">
                  <c:v>11</c:v>
                </c:pt>
                <c:pt idx="5">
                  <c:v>76</c:v>
                </c:pt>
              </c:numCache>
            </c:numRef>
          </c:val>
          <c:extLst xmlns:c16r2="http://schemas.microsoft.com/office/drawing/2015/06/chart">
            <c:ext xmlns:c16="http://schemas.microsoft.com/office/drawing/2014/chart" uri="{C3380CC4-5D6E-409C-BE32-E72D297353CC}">
              <c16:uniqueId val="{00000000-F406-46A0-BA55-5970CA301262}"/>
            </c:ext>
          </c:extLst>
        </c:ser>
        <c:dLbls>
          <c:showLegendKey val="0"/>
          <c:showVal val="0"/>
          <c:showCatName val="0"/>
          <c:showSerName val="0"/>
          <c:showPercent val="0"/>
          <c:showBubbleSize val="0"/>
        </c:dLbls>
        <c:gapWidth val="150"/>
        <c:axId val="524992984"/>
        <c:axId val="524994944"/>
      </c:barChart>
      <c:catAx>
        <c:axId val="524992984"/>
        <c:scaling>
          <c:orientation val="minMax"/>
        </c:scaling>
        <c:delete val="0"/>
        <c:axPos val="l"/>
        <c:numFmt formatCode="General" sourceLinked="0"/>
        <c:majorTickMark val="out"/>
        <c:minorTickMark val="none"/>
        <c:tickLblPos val="nextTo"/>
        <c:txPr>
          <a:bodyPr/>
          <a:lstStyle/>
          <a:p>
            <a:pPr>
              <a:defRPr sz="1100"/>
            </a:pPr>
            <a:endParaRPr lang="en-US"/>
          </a:p>
        </c:txPr>
        <c:crossAx val="524994944"/>
        <c:crosses val="autoZero"/>
        <c:auto val="1"/>
        <c:lblAlgn val="ctr"/>
        <c:lblOffset val="100"/>
        <c:noMultiLvlLbl val="0"/>
      </c:catAx>
      <c:valAx>
        <c:axId val="524994944"/>
        <c:scaling>
          <c:orientation val="minMax"/>
          <c:min val="0"/>
        </c:scaling>
        <c:delete val="0"/>
        <c:axPos val="b"/>
        <c:numFmt formatCode="General" sourceLinked="1"/>
        <c:majorTickMark val="out"/>
        <c:minorTickMark val="none"/>
        <c:tickLblPos val="nextTo"/>
        <c:txPr>
          <a:bodyPr/>
          <a:lstStyle/>
          <a:p>
            <a:pPr>
              <a:defRPr sz="900"/>
            </a:pPr>
            <a:endParaRPr lang="en-US"/>
          </a:p>
        </c:txPr>
        <c:crossAx val="524992984"/>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c:style val="3"/>
  <c:chart>
    <c:autoTitleDeleted val="1"/>
    <c:plotArea>
      <c:layout>
        <c:manualLayout>
          <c:layoutTarget val="inner"/>
          <c:xMode val="edge"/>
          <c:yMode val="edge"/>
          <c:x val="0.23400245026998345"/>
          <c:y val="4.218600191754554E-2"/>
          <c:w val="0.73075125870350532"/>
          <c:h val="0.8705656759348035"/>
        </c:manualLayout>
      </c:layout>
      <c:barChart>
        <c:barDir val="bar"/>
        <c:grouping val="clustered"/>
        <c:varyColors val="1"/>
        <c:ser>
          <c:idx val="0"/>
          <c:order val="0"/>
          <c:tx>
            <c:strRef>
              <c:f>Sheet1!$B$1</c:f>
              <c:strCache>
                <c:ptCount val="1"/>
                <c:pt idx="0">
                  <c:v>agree or not</c:v>
                </c:pt>
              </c:strCache>
            </c:strRef>
          </c:tx>
          <c:invertIfNegative val="1"/>
          <c:cat>
            <c:strRef>
              <c:f>Sheet1!$A$2:$A$7</c:f>
              <c:strCache>
                <c:ptCount val="6"/>
                <c:pt idx="0">
                  <c:v>Not Answered</c:v>
                </c:pt>
                <c:pt idx="1">
                  <c:v>Strongly disagree</c:v>
                </c:pt>
                <c:pt idx="2">
                  <c:v>Disagree</c:v>
                </c:pt>
                <c:pt idx="3">
                  <c:v>Not sure</c:v>
                </c:pt>
                <c:pt idx="4">
                  <c:v>Agree</c:v>
                </c:pt>
                <c:pt idx="5">
                  <c:v>Strongly agree</c:v>
                </c:pt>
              </c:strCache>
            </c:strRef>
          </c:cat>
          <c:val>
            <c:numRef>
              <c:f>Sheet1!$B$2:$B$7</c:f>
              <c:numCache>
                <c:formatCode>General</c:formatCode>
                <c:ptCount val="6"/>
                <c:pt idx="0">
                  <c:v>1</c:v>
                </c:pt>
                <c:pt idx="1">
                  <c:v>1</c:v>
                </c:pt>
                <c:pt idx="2">
                  <c:v>3</c:v>
                </c:pt>
                <c:pt idx="3">
                  <c:v>7</c:v>
                </c:pt>
                <c:pt idx="4">
                  <c:v>16</c:v>
                </c:pt>
                <c:pt idx="5">
                  <c:v>68</c:v>
                </c:pt>
              </c:numCache>
            </c:numRef>
          </c:val>
          <c:extLst xmlns:c16r2="http://schemas.microsoft.com/office/drawing/2015/06/chart">
            <c:ext xmlns:c16="http://schemas.microsoft.com/office/drawing/2014/chart" uri="{C3380CC4-5D6E-409C-BE32-E72D297353CC}">
              <c16:uniqueId val="{00000000-AA18-4BD9-8F9E-9872F74C541B}"/>
            </c:ext>
          </c:extLst>
        </c:ser>
        <c:dLbls>
          <c:showLegendKey val="0"/>
          <c:showVal val="0"/>
          <c:showCatName val="0"/>
          <c:showSerName val="0"/>
          <c:showPercent val="0"/>
          <c:showBubbleSize val="0"/>
        </c:dLbls>
        <c:gapWidth val="150"/>
        <c:axId val="524993768"/>
        <c:axId val="524519520"/>
      </c:barChart>
      <c:catAx>
        <c:axId val="524993768"/>
        <c:scaling>
          <c:orientation val="minMax"/>
        </c:scaling>
        <c:delete val="0"/>
        <c:axPos val="l"/>
        <c:numFmt formatCode="General" sourceLinked="0"/>
        <c:majorTickMark val="out"/>
        <c:minorTickMark val="none"/>
        <c:tickLblPos val="nextTo"/>
        <c:txPr>
          <a:bodyPr/>
          <a:lstStyle/>
          <a:p>
            <a:pPr>
              <a:defRPr sz="1100"/>
            </a:pPr>
            <a:endParaRPr lang="en-US"/>
          </a:p>
        </c:txPr>
        <c:crossAx val="524519520"/>
        <c:crosses val="autoZero"/>
        <c:auto val="1"/>
        <c:lblAlgn val="ctr"/>
        <c:lblOffset val="100"/>
        <c:noMultiLvlLbl val="0"/>
      </c:catAx>
      <c:valAx>
        <c:axId val="524519520"/>
        <c:scaling>
          <c:orientation val="minMax"/>
          <c:min val="0"/>
        </c:scaling>
        <c:delete val="0"/>
        <c:axPos val="b"/>
        <c:numFmt formatCode="General" sourceLinked="1"/>
        <c:majorTickMark val="out"/>
        <c:minorTickMark val="none"/>
        <c:tickLblPos val="nextTo"/>
        <c:txPr>
          <a:bodyPr/>
          <a:lstStyle/>
          <a:p>
            <a:pPr>
              <a:defRPr sz="900"/>
            </a:pPr>
            <a:endParaRPr lang="en-US"/>
          </a:p>
        </c:txPr>
        <c:crossAx val="524993768"/>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c:style val="3"/>
  <c:chart>
    <c:autoTitleDeleted val="1"/>
    <c:plotArea>
      <c:layout/>
      <c:barChart>
        <c:barDir val="bar"/>
        <c:grouping val="clustered"/>
        <c:varyColors val="1"/>
        <c:ser>
          <c:idx val="0"/>
          <c:order val="0"/>
          <c:tx>
            <c:strRef>
              <c:f>Sheet1!$B$1</c:f>
              <c:strCache>
                <c:ptCount val="1"/>
                <c:pt idx="0">
                  <c:v>agree or not</c:v>
                </c:pt>
              </c:strCache>
            </c:strRef>
          </c:tx>
          <c:invertIfNegative val="1"/>
          <c:cat>
            <c:strRef>
              <c:f>Sheet1!$A$2:$A$7</c:f>
              <c:strCache>
                <c:ptCount val="6"/>
                <c:pt idx="0">
                  <c:v>Not Answered</c:v>
                </c:pt>
                <c:pt idx="1">
                  <c:v>Strongly disagree</c:v>
                </c:pt>
                <c:pt idx="2">
                  <c:v>Disagree</c:v>
                </c:pt>
                <c:pt idx="3">
                  <c:v>Not sure</c:v>
                </c:pt>
                <c:pt idx="4">
                  <c:v>Agree</c:v>
                </c:pt>
                <c:pt idx="5">
                  <c:v>Strongly agree</c:v>
                </c:pt>
              </c:strCache>
            </c:strRef>
          </c:cat>
          <c:val>
            <c:numRef>
              <c:f>Sheet1!$B$2:$B$7</c:f>
              <c:numCache>
                <c:formatCode>General</c:formatCode>
                <c:ptCount val="6"/>
                <c:pt idx="0">
                  <c:v>2</c:v>
                </c:pt>
                <c:pt idx="1">
                  <c:v>3</c:v>
                </c:pt>
                <c:pt idx="2">
                  <c:v>3</c:v>
                </c:pt>
                <c:pt idx="3">
                  <c:v>15</c:v>
                </c:pt>
                <c:pt idx="4">
                  <c:v>8</c:v>
                </c:pt>
                <c:pt idx="5">
                  <c:v>65</c:v>
                </c:pt>
              </c:numCache>
            </c:numRef>
          </c:val>
          <c:extLst xmlns:c16r2="http://schemas.microsoft.com/office/drawing/2015/06/chart">
            <c:ext xmlns:c16="http://schemas.microsoft.com/office/drawing/2014/chart" uri="{C3380CC4-5D6E-409C-BE32-E72D297353CC}">
              <c16:uniqueId val="{00000000-7BC5-4C4C-B9DE-93F96D0FE85A}"/>
            </c:ext>
          </c:extLst>
        </c:ser>
        <c:dLbls>
          <c:showLegendKey val="0"/>
          <c:showVal val="0"/>
          <c:showCatName val="0"/>
          <c:showSerName val="0"/>
          <c:showPercent val="0"/>
          <c:showBubbleSize val="0"/>
        </c:dLbls>
        <c:gapWidth val="150"/>
        <c:axId val="525865632"/>
        <c:axId val="525868376"/>
      </c:barChart>
      <c:catAx>
        <c:axId val="525865632"/>
        <c:scaling>
          <c:orientation val="minMax"/>
        </c:scaling>
        <c:delete val="0"/>
        <c:axPos val="l"/>
        <c:numFmt formatCode="General" sourceLinked="0"/>
        <c:majorTickMark val="out"/>
        <c:minorTickMark val="none"/>
        <c:tickLblPos val="nextTo"/>
        <c:txPr>
          <a:bodyPr/>
          <a:lstStyle/>
          <a:p>
            <a:pPr>
              <a:defRPr sz="1100"/>
            </a:pPr>
            <a:endParaRPr lang="en-US"/>
          </a:p>
        </c:txPr>
        <c:crossAx val="525868376"/>
        <c:crosses val="autoZero"/>
        <c:auto val="1"/>
        <c:lblAlgn val="ctr"/>
        <c:lblOffset val="100"/>
        <c:noMultiLvlLbl val="0"/>
      </c:catAx>
      <c:valAx>
        <c:axId val="525868376"/>
        <c:scaling>
          <c:orientation val="minMax"/>
          <c:min val="0"/>
        </c:scaling>
        <c:delete val="0"/>
        <c:axPos val="b"/>
        <c:numFmt formatCode="General" sourceLinked="1"/>
        <c:majorTickMark val="out"/>
        <c:minorTickMark val="none"/>
        <c:tickLblPos val="nextTo"/>
        <c:txPr>
          <a:bodyPr/>
          <a:lstStyle/>
          <a:p>
            <a:pPr>
              <a:defRPr sz="900"/>
            </a:pPr>
            <a:endParaRPr lang="en-US"/>
          </a:p>
        </c:txPr>
        <c:crossAx val="525865632"/>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c:style val="3"/>
  <c:chart>
    <c:autoTitleDeleted val="1"/>
    <c:plotArea>
      <c:layout/>
      <c:barChart>
        <c:barDir val="bar"/>
        <c:grouping val="clustered"/>
        <c:varyColors val="1"/>
        <c:ser>
          <c:idx val="0"/>
          <c:order val="0"/>
          <c:tx>
            <c:strRef>
              <c:f>Sheet1!$B$1</c:f>
              <c:strCache>
                <c:ptCount val="1"/>
                <c:pt idx="0">
                  <c:v>agree or not</c:v>
                </c:pt>
              </c:strCache>
            </c:strRef>
          </c:tx>
          <c:invertIfNegative val="1"/>
          <c:cat>
            <c:strRef>
              <c:f>Sheet1!$A$2:$A$6</c:f>
              <c:strCache>
                <c:ptCount val="5"/>
                <c:pt idx="0">
                  <c:v>Not Answered</c:v>
                </c:pt>
                <c:pt idx="1">
                  <c:v>Strongly disagree</c:v>
                </c:pt>
                <c:pt idx="2">
                  <c:v>Not sure</c:v>
                </c:pt>
                <c:pt idx="3">
                  <c:v>Agree</c:v>
                </c:pt>
                <c:pt idx="4">
                  <c:v>Strongly agree</c:v>
                </c:pt>
              </c:strCache>
            </c:strRef>
          </c:cat>
          <c:val>
            <c:numRef>
              <c:f>Sheet1!$B$2:$B$6</c:f>
              <c:numCache>
                <c:formatCode>General</c:formatCode>
                <c:ptCount val="5"/>
                <c:pt idx="0">
                  <c:v>1</c:v>
                </c:pt>
                <c:pt idx="1">
                  <c:v>1</c:v>
                </c:pt>
                <c:pt idx="2">
                  <c:v>5</c:v>
                </c:pt>
                <c:pt idx="3">
                  <c:v>9</c:v>
                </c:pt>
                <c:pt idx="4">
                  <c:v>80</c:v>
                </c:pt>
              </c:numCache>
            </c:numRef>
          </c:val>
          <c:extLst xmlns:c16r2="http://schemas.microsoft.com/office/drawing/2015/06/chart">
            <c:ext xmlns:c16="http://schemas.microsoft.com/office/drawing/2014/chart" uri="{C3380CC4-5D6E-409C-BE32-E72D297353CC}">
              <c16:uniqueId val="{00000000-0DEC-454B-8580-6603C742C2C7}"/>
            </c:ext>
          </c:extLst>
        </c:ser>
        <c:dLbls>
          <c:showLegendKey val="0"/>
          <c:showVal val="0"/>
          <c:showCatName val="0"/>
          <c:showSerName val="0"/>
          <c:showPercent val="0"/>
          <c:showBubbleSize val="0"/>
        </c:dLbls>
        <c:gapWidth val="150"/>
        <c:axId val="525867592"/>
        <c:axId val="525866024"/>
      </c:barChart>
      <c:catAx>
        <c:axId val="525867592"/>
        <c:scaling>
          <c:orientation val="minMax"/>
        </c:scaling>
        <c:delete val="0"/>
        <c:axPos val="l"/>
        <c:numFmt formatCode="General" sourceLinked="0"/>
        <c:majorTickMark val="out"/>
        <c:minorTickMark val="none"/>
        <c:tickLblPos val="nextTo"/>
        <c:txPr>
          <a:bodyPr/>
          <a:lstStyle/>
          <a:p>
            <a:pPr>
              <a:defRPr sz="1100"/>
            </a:pPr>
            <a:endParaRPr lang="en-US"/>
          </a:p>
        </c:txPr>
        <c:crossAx val="525866024"/>
        <c:crosses val="autoZero"/>
        <c:auto val="1"/>
        <c:lblAlgn val="ctr"/>
        <c:lblOffset val="100"/>
        <c:noMultiLvlLbl val="0"/>
      </c:catAx>
      <c:valAx>
        <c:axId val="525866024"/>
        <c:scaling>
          <c:orientation val="minMax"/>
          <c:min val="0"/>
        </c:scaling>
        <c:delete val="0"/>
        <c:axPos val="b"/>
        <c:numFmt formatCode="General" sourceLinked="1"/>
        <c:majorTickMark val="out"/>
        <c:minorTickMark val="none"/>
        <c:tickLblPos val="nextTo"/>
        <c:txPr>
          <a:bodyPr/>
          <a:lstStyle/>
          <a:p>
            <a:pPr>
              <a:defRPr sz="900"/>
            </a:pPr>
            <a:endParaRPr lang="en-US"/>
          </a:p>
        </c:txPr>
        <c:crossAx val="525867592"/>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c:style val="3"/>
  <c:chart>
    <c:autoTitleDeleted val="1"/>
    <c:plotArea>
      <c:layout/>
      <c:barChart>
        <c:barDir val="bar"/>
        <c:grouping val="clustered"/>
        <c:varyColors val="1"/>
        <c:ser>
          <c:idx val="0"/>
          <c:order val="0"/>
          <c:tx>
            <c:strRef>
              <c:f>Sheet1!$B$1</c:f>
              <c:strCache>
                <c:ptCount val="1"/>
                <c:pt idx="0">
                  <c:v>agree or not</c:v>
                </c:pt>
              </c:strCache>
            </c:strRef>
          </c:tx>
          <c:invertIfNegative val="1"/>
          <c:cat>
            <c:strRef>
              <c:f>Sheet1!$A$2:$A$7</c:f>
              <c:strCache>
                <c:ptCount val="6"/>
                <c:pt idx="0">
                  <c:v>Not Answered</c:v>
                </c:pt>
                <c:pt idx="1">
                  <c:v>Strongly disagree</c:v>
                </c:pt>
                <c:pt idx="2">
                  <c:v>Disagree</c:v>
                </c:pt>
                <c:pt idx="3">
                  <c:v>Not sure</c:v>
                </c:pt>
                <c:pt idx="4">
                  <c:v>Agree</c:v>
                </c:pt>
                <c:pt idx="5">
                  <c:v>Strongly agree</c:v>
                </c:pt>
              </c:strCache>
            </c:strRef>
          </c:cat>
          <c:val>
            <c:numRef>
              <c:f>Sheet1!$B$2:$B$7</c:f>
              <c:numCache>
                <c:formatCode>General</c:formatCode>
                <c:ptCount val="6"/>
                <c:pt idx="0">
                  <c:v>1</c:v>
                </c:pt>
                <c:pt idx="1">
                  <c:v>9</c:v>
                </c:pt>
                <c:pt idx="2">
                  <c:v>18</c:v>
                </c:pt>
                <c:pt idx="3">
                  <c:v>30</c:v>
                </c:pt>
                <c:pt idx="4">
                  <c:v>17</c:v>
                </c:pt>
                <c:pt idx="5">
                  <c:v>21</c:v>
                </c:pt>
              </c:numCache>
            </c:numRef>
          </c:val>
          <c:extLst xmlns:c16r2="http://schemas.microsoft.com/office/drawing/2015/06/chart">
            <c:ext xmlns:c16="http://schemas.microsoft.com/office/drawing/2014/chart" uri="{C3380CC4-5D6E-409C-BE32-E72D297353CC}">
              <c16:uniqueId val="{00000000-3A55-49B2-AF62-01D4DFCD2805}"/>
            </c:ext>
          </c:extLst>
        </c:ser>
        <c:dLbls>
          <c:showLegendKey val="0"/>
          <c:showVal val="0"/>
          <c:showCatName val="0"/>
          <c:showSerName val="0"/>
          <c:showPercent val="0"/>
          <c:showBubbleSize val="0"/>
        </c:dLbls>
        <c:gapWidth val="150"/>
        <c:axId val="525865240"/>
        <c:axId val="525866416"/>
      </c:barChart>
      <c:catAx>
        <c:axId val="525865240"/>
        <c:scaling>
          <c:orientation val="minMax"/>
        </c:scaling>
        <c:delete val="0"/>
        <c:axPos val="l"/>
        <c:numFmt formatCode="General" sourceLinked="0"/>
        <c:majorTickMark val="out"/>
        <c:minorTickMark val="none"/>
        <c:tickLblPos val="nextTo"/>
        <c:txPr>
          <a:bodyPr/>
          <a:lstStyle/>
          <a:p>
            <a:pPr>
              <a:defRPr sz="1100"/>
            </a:pPr>
            <a:endParaRPr lang="en-US"/>
          </a:p>
        </c:txPr>
        <c:crossAx val="525866416"/>
        <c:crosses val="autoZero"/>
        <c:auto val="1"/>
        <c:lblAlgn val="ctr"/>
        <c:lblOffset val="100"/>
        <c:noMultiLvlLbl val="0"/>
      </c:catAx>
      <c:valAx>
        <c:axId val="525866416"/>
        <c:scaling>
          <c:orientation val="minMax"/>
          <c:min val="0"/>
        </c:scaling>
        <c:delete val="0"/>
        <c:axPos val="b"/>
        <c:numFmt formatCode="General" sourceLinked="1"/>
        <c:majorTickMark val="out"/>
        <c:minorTickMark val="none"/>
        <c:tickLblPos val="nextTo"/>
        <c:txPr>
          <a:bodyPr/>
          <a:lstStyle/>
          <a:p>
            <a:pPr>
              <a:defRPr sz="900"/>
            </a:pPr>
            <a:endParaRPr lang="en-US"/>
          </a:p>
        </c:txPr>
        <c:crossAx val="525865240"/>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CCA2-0972-434F-99C4-29CCDF9C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STEVENS David</cp:lastModifiedBy>
  <cp:revision>6</cp:revision>
  <dcterms:created xsi:type="dcterms:W3CDTF">2023-01-24T12:59:00Z</dcterms:created>
  <dcterms:modified xsi:type="dcterms:W3CDTF">2023-01-25T13:09:00Z</dcterms:modified>
  <cp:category/>
</cp:coreProperties>
</file>